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pPr>
    </w:p>
    <w:p>
      <w:pPr>
        <w:pStyle w:val="56"/>
        <w:jc w:val="center"/>
        <w:rPr>
          <w:b/>
          <w:sz w:val="72"/>
          <w:szCs w:val="72"/>
        </w:rPr>
      </w:pPr>
      <w:r>
        <w:rPr>
          <w:rFonts w:hint="eastAsia"/>
          <w:b/>
          <w:spacing w:val="128"/>
          <w:kern w:val="0"/>
          <w:sz w:val="72"/>
          <w:szCs w:val="72"/>
          <w:fitText w:val="7560" w:id="0"/>
        </w:rPr>
        <w:t>污染物浓度预评</w:t>
      </w:r>
      <w:r>
        <w:rPr>
          <w:rFonts w:hint="eastAsia"/>
          <w:b/>
          <w:spacing w:val="4"/>
          <w:kern w:val="0"/>
          <w:sz w:val="72"/>
          <w:szCs w:val="72"/>
          <w:fitText w:val="7560" w:id="0"/>
        </w:rPr>
        <w:t>估</w:t>
      </w:r>
    </w:p>
    <w:p>
      <w:pPr>
        <w:pStyle w:val="56"/>
        <w:jc w:val="center"/>
        <w:rPr>
          <w:b/>
          <w:sz w:val="72"/>
          <w:szCs w:val="72"/>
        </w:rPr>
      </w:pPr>
      <w:r>
        <w:rPr>
          <w:rFonts w:hint="eastAsia"/>
          <w:b/>
          <w:spacing w:val="180"/>
          <w:kern w:val="0"/>
          <w:sz w:val="72"/>
          <w:szCs w:val="72"/>
          <w:fitText w:val="3960" w:id="1"/>
        </w:rPr>
        <w:t>分析报</w:t>
      </w:r>
      <w:r>
        <w:rPr>
          <w:rFonts w:hint="eastAsia"/>
          <w:b/>
          <w:kern w:val="0"/>
          <w:sz w:val="72"/>
          <w:szCs w:val="72"/>
          <w:fitText w:val="3960" w:id="1"/>
        </w:rPr>
        <w:t>告</w:t>
      </w:r>
    </w:p>
    <w:p>
      <w:pPr>
        <w:pStyle w:val="60"/>
        <w:spacing w:line="400" w:lineRule="exact"/>
      </w:pPr>
    </w:p>
    <w:p>
      <w:pPr>
        <w:pStyle w:val="60"/>
        <w:rPr>
          <w:b/>
        </w:rPr>
      </w:pPr>
      <w:bookmarkStart w:id="0" w:name="项目名称"/>
      <w:bookmarkEnd w:id="0"/>
    </w:p>
    <w:p>
      <w:pPr>
        <w:pStyle w:val="60"/>
        <w:rPr>
          <w:b/>
        </w:rPr>
      </w:pPr>
      <w:r>
        <w:rPr>
          <w:rFonts w:hint="eastAsia"/>
          <w:b/>
        </w:rPr>
        <w:t>设计编号：</w:t>
      </w:r>
      <w:bookmarkStart w:id="1" w:name="设计编号"/>
      <w:bookmarkEnd w:id="1"/>
      <w:r>
        <w:rPr>
          <w:rFonts w:hint="eastAsia"/>
          <w:b/>
          <w:lang w:val="en-US" w:eastAsia="zh-CN"/>
        </w:rPr>
        <w:t>BKA80084</w:t>
      </w:r>
      <w:bookmarkStart w:id="95" w:name="_GoBack"/>
      <w:bookmarkEnd w:id="95"/>
    </w:p>
    <w:p>
      <w:pPr>
        <w:pStyle w:val="60"/>
        <w:rPr>
          <w:b/>
        </w:rPr>
      </w:pPr>
    </w:p>
    <w:p>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工程地点</w:t>
            </w:r>
          </w:p>
        </w:tc>
        <w:tc>
          <w:tcPr>
            <w:tcW w:w="475" w:type="dxa"/>
            <w:vAlign w:val="center"/>
          </w:tcPr>
          <w:p>
            <w:pPr>
              <w:pStyle w:val="56"/>
              <w:ind w:right="-31" w:rightChars="-15"/>
              <w:jc w:val="center"/>
            </w:pPr>
            <w:r>
              <w:rPr>
                <w:rFonts w:hint="eastAsia"/>
              </w:rPr>
              <w:t>：</w:t>
            </w:r>
          </w:p>
        </w:tc>
        <w:tc>
          <w:tcPr>
            <w:tcW w:w="4624" w:type="dxa"/>
            <w:tcBorders>
              <w:bottom w:val="single" w:color="auto" w:sz="4" w:space="0"/>
            </w:tcBorders>
            <w:vAlign w:val="center"/>
          </w:tcPr>
          <w:p>
            <w:pPr>
              <w:pStyle w:val="56"/>
              <w:jc w:val="center"/>
            </w:pPr>
            <w:bookmarkStart w:id="3" w:name="项目地点"/>
            <w:r>
              <w:t>福州</w:t>
            </w:r>
            <w:bookmarkEnd w:id="3"/>
            <w:bookmarkStart w:id="4" w:name="工程地点"/>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建设单位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校对人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审定人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报告日期</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7" w:name="报告日期"/>
            <w:r>
              <w:t>2025年12月13日</w:t>
            </w:r>
            <w:bookmarkEnd w:id="7"/>
          </w:p>
        </w:tc>
      </w:tr>
    </w:tbl>
    <w:p/>
    <w:p>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8"/>
              <w:rPr>
                <w:szCs w:val="18"/>
              </w:rPr>
            </w:pPr>
            <w:r>
              <w:rPr>
                <w:rFonts w:hint="eastAsia"/>
                <w:szCs w:val="18"/>
              </w:rPr>
              <w:t xml:space="preserve">: </w:t>
            </w:r>
            <w:bookmarkStart w:id="10" w:name="加密锁号"/>
            <w:r>
              <w:rPr>
                <w:rFonts w:hint="eastAsia"/>
                <w:szCs w:val="18"/>
              </w:rPr>
              <w:t>T16609942605</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_Toc13956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_Toc13956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_Toc12800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_Toc12800 </w:instrText>
      </w:r>
      <w:r>
        <w:fldChar w:fldCharType="separate"/>
      </w:r>
      <w:r>
        <w:t>4</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_Toc29731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_Toc29731 </w:instrText>
      </w:r>
      <w:r>
        <w:fldChar w:fldCharType="separate"/>
      </w:r>
      <w:r>
        <w:t>4</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_Toc19241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_Toc19241 </w:instrText>
      </w:r>
      <w:r>
        <w:fldChar w:fldCharType="separate"/>
      </w:r>
      <w:r>
        <w:t>5</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_Toc31796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_Toc31796 </w:instrText>
      </w:r>
      <w:r>
        <w:fldChar w:fldCharType="separate"/>
      </w:r>
      <w:r>
        <w:t>5</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_Toc23403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_Toc23403 </w:instrText>
      </w:r>
      <w:r>
        <w:fldChar w:fldCharType="separate"/>
      </w:r>
      <w:r>
        <w:t>5</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_Toc26799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_Toc26799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_Toc31322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_Toc31322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_Toc10854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_Toc10854 </w:instrText>
      </w:r>
      <w:r>
        <w:fldChar w:fldCharType="separate"/>
      </w:r>
      <w:r>
        <w:t>8</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_Toc30405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_Toc30405 </w:instrText>
      </w:r>
      <w:r>
        <w:fldChar w:fldCharType="separate"/>
      </w:r>
      <w:r>
        <w:t>11</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_Toc6417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_Toc6417 </w:instrText>
      </w:r>
      <w:r>
        <w:fldChar w:fldCharType="separate"/>
      </w:r>
      <w:r>
        <w:t>12</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_Toc1315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_Toc1315 </w:instrText>
      </w:r>
      <w:r>
        <w:fldChar w:fldCharType="separate"/>
      </w:r>
      <w:r>
        <w:t>13</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_Toc19579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_Toc19579 </w:instrText>
      </w:r>
      <w:r>
        <w:fldChar w:fldCharType="separate"/>
      </w:r>
      <w:r>
        <w:t>15</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_Toc1661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_Toc1661 </w:instrText>
      </w:r>
      <w:r>
        <w:fldChar w:fldCharType="separate"/>
      </w:r>
      <w:r>
        <w:t>16</w:t>
      </w:r>
      <w:r>
        <w:fldChar w:fldCharType="end"/>
      </w:r>
      <w:r>
        <w:rPr>
          <w:caps/>
          <w:szCs w:val="20"/>
        </w:rPr>
        <w:fldChar w:fldCharType="end"/>
      </w:r>
    </w:p>
    <w:p>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pPr>
        <w:pStyle w:val="2"/>
        <w:spacing w:before="312"/>
      </w:pPr>
      <w:bookmarkStart w:id="11" w:name="_Toc13956"/>
      <w:bookmarkStart w:id="12" w:name="_Toc16625130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工程名称</w:t>
            </w:r>
          </w:p>
        </w:tc>
        <w:tc>
          <w:tcPr>
            <w:tcW w:w="6510" w:type="dxa"/>
            <w:gridSpan w:val="2"/>
            <w:shd w:val="clear" w:color="auto" w:fill="auto"/>
            <w:noWrap/>
            <w:vAlign w:val="bottom"/>
          </w:tcPr>
          <w:p>
            <w:pPr>
              <w:pStyle w:val="13"/>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建筑类型</w:t>
            </w:r>
          </w:p>
        </w:tc>
        <w:tc>
          <w:tcPr>
            <w:tcW w:w="6510" w:type="dxa"/>
            <w:gridSpan w:val="2"/>
            <w:shd w:val="clear" w:color="auto" w:fill="auto"/>
            <w:noWrap/>
            <w:vAlign w:val="bottom"/>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地理位置</w:t>
            </w:r>
          </w:p>
        </w:tc>
        <w:tc>
          <w:tcPr>
            <w:tcW w:w="6510" w:type="dxa"/>
            <w:gridSpan w:val="2"/>
            <w:shd w:val="clear" w:color="auto" w:fill="auto"/>
            <w:noWrap/>
            <w:vAlign w:val="bottom"/>
          </w:tcPr>
          <w:p>
            <w:pPr>
              <w:pStyle w:val="13"/>
            </w:pPr>
            <w:r>
              <w:t> </w:t>
            </w:r>
            <w:bookmarkStart w:id="13" w:name="地区"/>
            <w:r>
              <w:t>福州</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t>建筑面积</w:t>
            </w:r>
          </w:p>
        </w:tc>
        <w:tc>
          <w:tcPr>
            <w:tcW w:w="2400" w:type="dxa"/>
            <w:shd w:val="clear" w:color="auto" w:fill="auto"/>
            <w:noWrap/>
            <w:vAlign w:val="bottom"/>
          </w:tcPr>
          <w:p>
            <w:pPr>
              <w:pStyle w:val="13"/>
            </w:pPr>
            <w:r>
              <w:rPr>
                <w:rFonts w:hint="eastAsia"/>
              </w:rPr>
              <w:t>地上</w:t>
            </w:r>
            <w:r>
              <w:t> </w:t>
            </w:r>
            <w:bookmarkStart w:id="14" w:name="地上建筑面积"/>
            <w:bookmarkStart w:id="15" w:name="建筑面积"/>
            <w:r>
              <w:t>455.19</w:t>
            </w:r>
            <w:bookmarkEnd w:id="14"/>
            <w:bookmarkEnd w:id="15"/>
            <w:r>
              <w:t>m</w:t>
            </w:r>
            <w:r>
              <w:rPr>
                <w:vertAlign w:val="superscript"/>
              </w:rPr>
              <w:t>2</w:t>
            </w:r>
          </w:p>
        </w:tc>
        <w:tc>
          <w:tcPr>
            <w:tcW w:w="4110" w:type="dxa"/>
            <w:shd w:val="clear" w:color="auto" w:fill="auto"/>
            <w:vAlign w:val="bottom"/>
          </w:tcPr>
          <w:p>
            <w:pPr>
              <w:pStyle w:val="13"/>
            </w:pPr>
            <w:r>
              <w:rPr>
                <w:rFonts w:hint="eastAsia"/>
              </w:rPr>
              <w:t>地下</w:t>
            </w:r>
            <w:bookmarkStart w:id="16" w:name="地下建筑面积"/>
            <w:r>
              <w:t>0.00</w:t>
            </w:r>
            <w:bookmarkEnd w:id="16"/>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建筑层数</w:t>
            </w:r>
          </w:p>
        </w:tc>
        <w:tc>
          <w:tcPr>
            <w:tcW w:w="2400" w:type="dxa"/>
            <w:shd w:val="clear" w:color="auto" w:fill="auto"/>
            <w:noWrap/>
            <w:vAlign w:val="bottom"/>
          </w:tcPr>
          <w:p>
            <w:pPr>
              <w:pStyle w:val="13"/>
            </w:pPr>
            <w:r>
              <w:rPr>
                <w:rFonts w:hint="eastAsia"/>
              </w:rPr>
              <w:t>地上</w:t>
            </w:r>
            <w:bookmarkStart w:id="17" w:name="地上建筑层数"/>
            <w:r>
              <w:t>1</w:t>
            </w:r>
            <w:bookmarkEnd w:id="17"/>
            <w:r>
              <w:rPr>
                <w:rFonts w:hint="eastAsia"/>
              </w:rPr>
              <w:t>层</w:t>
            </w:r>
          </w:p>
        </w:tc>
        <w:tc>
          <w:tcPr>
            <w:tcW w:w="4110" w:type="dxa"/>
            <w:shd w:val="clear" w:color="auto" w:fill="auto"/>
            <w:vAlign w:val="bottom"/>
          </w:tcPr>
          <w:p>
            <w:pPr>
              <w:pStyle w:val="13"/>
            </w:pPr>
            <w:r>
              <w:rPr>
                <w:rFonts w:hint="eastAsia"/>
              </w:rPr>
              <w:t>地下</w:t>
            </w:r>
            <w:bookmarkStart w:id="18" w:name="地下建筑层数"/>
            <w:r>
              <w:t>0</w:t>
            </w:r>
            <w:bookmarkEnd w:id="18"/>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建筑高度</w:t>
            </w:r>
          </w:p>
        </w:tc>
        <w:tc>
          <w:tcPr>
            <w:tcW w:w="6510" w:type="dxa"/>
            <w:gridSpan w:val="2"/>
            <w:shd w:val="clear" w:color="auto" w:fill="auto"/>
            <w:noWrap/>
            <w:vAlign w:val="bottom"/>
          </w:tcPr>
          <w:p>
            <w:pPr>
              <w:pStyle w:val="13"/>
            </w:pPr>
            <w:bookmarkStart w:id="19" w:name="建筑层高"/>
            <w:bookmarkStart w:id="20" w:name="建筑高度"/>
            <w:r>
              <w:t>4.000</w:t>
            </w:r>
            <w:bookmarkEnd w:id="19"/>
            <w:bookmarkEnd w:id="20"/>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北向角度</w:t>
            </w:r>
          </w:p>
        </w:tc>
        <w:tc>
          <w:tcPr>
            <w:tcW w:w="6510" w:type="dxa"/>
            <w:gridSpan w:val="2"/>
            <w:shd w:val="clear" w:color="auto" w:fill="auto"/>
            <w:noWrap/>
            <w:vAlign w:val="bottom"/>
          </w:tcPr>
          <w:p>
            <w:pPr>
              <w:pStyle w:val="13"/>
            </w:pPr>
            <w:bookmarkStart w:id="21" w:name="北向角度"/>
            <w:r>
              <w:t>2.6</w:t>
            </w:r>
            <w:bookmarkEnd w:id="21"/>
            <w:r>
              <w:rPr>
                <w:rFonts w:hint="eastAsia"/>
              </w:rPr>
              <w:t>°</w:t>
            </w:r>
          </w:p>
        </w:tc>
      </w:tr>
    </w:tbl>
    <w:p>
      <w:pPr>
        <w:jc w:val="center"/>
      </w:pPr>
      <w:bookmarkStart w:id="22" w:name="平面图"/>
      <w:bookmarkEnd w:id="22"/>
      <w:r>
        <w:drawing>
          <wp:inline distT="0" distB="0" distL="0" distR="0">
            <wp:extent cx="5667375" cy="52959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295900"/>
                    </a:xfrm>
                    <a:prstGeom prst="rect">
                      <a:avLst/>
                    </a:prstGeom>
                  </pic:spPr>
                </pic:pic>
              </a:graphicData>
            </a:graphic>
          </wp:inline>
        </w:drawing>
      </w:r>
    </w:p>
    <w:p>
      <w:pPr>
        <w:jc w:val="center"/>
      </w:pPr>
      <w:r>
        <w:t>1层平面</w:t>
      </w:r>
    </w:p>
    <w:p>
      <w:pPr>
        <w:jc w:val="center"/>
      </w:pPr>
    </w:p>
    <w:p>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pPr>
        <w:pStyle w:val="13"/>
        <w:jc w:val="center"/>
      </w:pPr>
      <w:bookmarkStart w:id="23" w:name="三维视图"/>
      <w:r>
        <w:t>请先在[模型观察]命令中保存图片！</w:t>
      </w:r>
    </w:p>
    <w:bookmarkEnd w:id="23"/>
    <w:p>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pPr>
        <w:pStyle w:val="2"/>
        <w:spacing w:before="312"/>
      </w:pPr>
      <w:bookmarkStart w:id="25" w:name="_Toc12800"/>
      <w:r>
        <w:rPr>
          <w:rFonts w:hint="eastAsia"/>
        </w:rPr>
        <w:t>评价依据</w:t>
      </w:r>
      <w:bookmarkEnd w:id="24"/>
      <w:bookmarkEnd w:id="25"/>
    </w:p>
    <w:p>
      <w:pPr>
        <w:pStyle w:val="13"/>
        <w:ind w:left="424" w:leftChars="202"/>
        <w:rPr>
          <w:bCs/>
        </w:rPr>
      </w:pPr>
      <w:bookmarkStart w:id="26" w:name="标准名称"/>
      <w:r>
        <w:t>《绿色建筑评价标准》GB/T50378-2019版</w:t>
      </w:r>
      <w:bookmarkEnd w:id="26"/>
    </w:p>
    <w:p>
      <w:pPr>
        <w:pStyle w:val="13"/>
        <w:ind w:left="424" w:leftChars="202"/>
        <w:rPr>
          <w:bCs/>
        </w:rPr>
      </w:pPr>
      <w:r>
        <w:rPr>
          <w:rFonts w:hint="eastAsia"/>
          <w:bCs/>
        </w:rPr>
        <w:t>《公共建筑室内空气质量控制设计标准》</w:t>
      </w:r>
      <w:r>
        <w:rPr>
          <w:bCs/>
        </w:rPr>
        <w:t>JGJ/T 461</w:t>
      </w:r>
    </w:p>
    <w:p>
      <w:pPr>
        <w:pStyle w:val="13"/>
        <w:ind w:left="424" w:leftChars="202"/>
        <w:rPr>
          <w:bCs/>
        </w:rPr>
      </w:pPr>
      <w:r>
        <w:rPr>
          <w:rFonts w:hint="eastAsia"/>
          <w:bCs/>
        </w:rPr>
        <w:t>《住宅建筑室内装修污染控制技术标准》</w:t>
      </w:r>
      <w:r>
        <w:rPr>
          <w:bCs/>
        </w:rPr>
        <w:t>JGJ/T 436</w:t>
      </w:r>
    </w:p>
    <w:p>
      <w:pPr>
        <w:pStyle w:val="13"/>
        <w:ind w:left="424" w:leftChars="202"/>
        <w:rPr>
          <w:bCs/>
        </w:rPr>
      </w:pPr>
      <w:r>
        <w:rPr>
          <w:rFonts w:hint="eastAsia"/>
          <w:bCs/>
        </w:rPr>
        <w:t>《室内空气质量标准》</w:t>
      </w:r>
      <w:r>
        <w:rPr>
          <w:bCs/>
        </w:rPr>
        <w:t>GB/T 18883</w:t>
      </w:r>
    </w:p>
    <w:p>
      <w:pPr>
        <w:pStyle w:val="13"/>
        <w:ind w:left="424" w:leftChars="202"/>
        <w:rPr>
          <w:bCs/>
        </w:rPr>
      </w:pPr>
      <w:r>
        <w:rPr>
          <w:rFonts w:hint="eastAsia"/>
          <w:bCs/>
        </w:rPr>
        <w:t>《建筑外门窗气密、水密、抗风压性能分级及检测方法》</w:t>
      </w:r>
      <w:r>
        <w:rPr>
          <w:bCs/>
        </w:rPr>
        <w:t>GB/T 7106</w:t>
      </w:r>
    </w:p>
    <w:p>
      <w:pPr>
        <w:pStyle w:val="13"/>
        <w:ind w:left="424" w:leftChars="202"/>
        <w:rPr>
          <w:bCs/>
        </w:rPr>
      </w:pPr>
      <w:r>
        <w:rPr>
          <w:rFonts w:hint="eastAsia"/>
          <w:bCs/>
        </w:rPr>
        <w:t>《民用建筑工程室内环境污染控制规范》</w:t>
      </w:r>
      <w:r>
        <w:rPr>
          <w:bCs/>
        </w:rPr>
        <w:t>GB 50325</w:t>
      </w:r>
    </w:p>
    <w:p>
      <w:pPr>
        <w:pStyle w:val="13"/>
        <w:ind w:left="424" w:leftChars="202"/>
        <w:rPr>
          <w:bCs/>
        </w:rPr>
      </w:pPr>
      <w:r>
        <w:rPr>
          <w:rFonts w:hint="eastAsia"/>
          <w:bCs/>
        </w:rPr>
        <w:t>《民用建筑供暖通风与空气调节设计规范》</w:t>
      </w:r>
      <w:r>
        <w:rPr>
          <w:bCs/>
        </w:rPr>
        <w:t>GB50736</w:t>
      </w:r>
    </w:p>
    <w:p>
      <w:pPr>
        <w:pStyle w:val="13"/>
        <w:ind w:left="424" w:leftChars="202"/>
        <w:rPr>
          <w:bCs/>
        </w:rPr>
      </w:pPr>
      <w:r>
        <w:rPr>
          <w:rFonts w:hint="eastAsia"/>
          <w:bCs/>
        </w:rPr>
        <w:t>《环境空气质量指数（</w:t>
      </w:r>
      <w:r>
        <w:rPr>
          <w:bCs/>
        </w:rPr>
        <w:t>AQI）技术规定》HJ 633</w:t>
      </w:r>
    </w:p>
    <w:p>
      <w:pPr>
        <w:pStyle w:val="2"/>
        <w:spacing w:before="312"/>
      </w:pPr>
      <w:bookmarkStart w:id="27" w:name="_Toc29731"/>
      <w:r>
        <w:rPr>
          <w:rFonts w:hint="eastAsia"/>
        </w:rPr>
        <w:t>标准要求</w:t>
      </w:r>
      <w:bookmarkEnd w:id="27"/>
    </w:p>
    <w:p>
      <w:pPr>
        <w:pStyle w:val="13"/>
        <w:ind w:firstLine="360" w:firstLineChars="200"/>
      </w:pPr>
      <w:bookmarkStart w:id="28" w:name="标准名称1"/>
      <w:r>
        <w:t>《绿色建筑评价标准》GB/T50378-2019版</w:t>
      </w:r>
      <w:bookmarkEnd w:id="28"/>
      <w:bookmarkStart w:id="29" w:name="_Toc166251306"/>
      <w:r>
        <w:rPr>
          <w:rFonts w:hint="eastAsia"/>
        </w:rPr>
        <w:t>对室内空气提出明确要求。</w:t>
      </w:r>
    </w:p>
    <w:p>
      <w:pPr>
        <w:pStyle w:val="13"/>
        <w:numPr>
          <w:ilvl w:val="0"/>
          <w:numId w:val="2"/>
        </w:numPr>
        <w:spacing w:before="156" w:beforeLines="50"/>
        <w:ind w:left="709" w:hanging="284"/>
        <w:rPr>
          <w:bCs/>
        </w:rPr>
      </w:pPr>
      <w:r>
        <w:rPr>
          <w:rFonts w:hint="eastAsia"/>
          <w:bCs/>
        </w:rPr>
        <w:t>星级评价</w:t>
      </w:r>
    </w:p>
    <w:p>
      <w:pPr>
        <w:pStyle w:val="13"/>
        <w:ind w:firstLine="426"/>
        <w:rPr>
          <w:bCs/>
        </w:rPr>
      </w:pPr>
      <w:r>
        <w:rPr>
          <w:bCs/>
        </w:rPr>
        <w:t xml:space="preserve">3.2.8 </w:t>
      </w:r>
      <w:r>
        <w:rPr>
          <w:rFonts w:hint="eastAsia"/>
          <w:bCs/>
        </w:rPr>
        <w:t>绿色建筑星级等级应按下列规定确定：</w:t>
      </w:r>
    </w:p>
    <w:p>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p>
        </w:tc>
        <w:tc>
          <w:tcPr>
            <w:tcW w:w="1559" w:type="dxa"/>
            <w:tcBorders>
              <w:bottom w:val="single" w:color="auto" w:sz="4" w:space="0"/>
            </w:tcBorders>
            <w:vAlign w:val="center"/>
          </w:tcPr>
          <w:p>
            <w:pPr>
              <w:pStyle w:val="13"/>
              <w:jc w:val="center"/>
              <w:rPr>
                <w:bCs/>
                <w:szCs w:val="18"/>
              </w:rPr>
            </w:pPr>
            <w:r>
              <w:rPr>
                <w:rFonts w:hint="eastAsia"/>
                <w:bCs/>
                <w:szCs w:val="18"/>
              </w:rPr>
              <w:t>一星级</w:t>
            </w:r>
          </w:p>
        </w:tc>
        <w:tc>
          <w:tcPr>
            <w:tcW w:w="1559" w:type="dxa"/>
            <w:tcBorders>
              <w:bottom w:val="single" w:color="auto" w:sz="4" w:space="0"/>
            </w:tcBorders>
            <w:vAlign w:val="center"/>
          </w:tcPr>
          <w:p>
            <w:pPr>
              <w:pStyle w:val="13"/>
              <w:jc w:val="center"/>
              <w:rPr>
                <w:bCs/>
                <w:szCs w:val="18"/>
              </w:rPr>
            </w:pPr>
            <w:r>
              <w:rPr>
                <w:rFonts w:hint="eastAsia"/>
                <w:bCs/>
                <w:szCs w:val="18"/>
              </w:rPr>
              <w:t>二星级</w:t>
            </w:r>
          </w:p>
        </w:tc>
        <w:tc>
          <w:tcPr>
            <w:tcW w:w="1560" w:type="dxa"/>
            <w:tcBorders>
              <w:bottom w:val="single" w:color="auto" w:sz="4" w:space="0"/>
            </w:tcBorders>
            <w:vAlign w:val="center"/>
          </w:tcPr>
          <w:p>
            <w:pPr>
              <w:pStyle w:val="13"/>
              <w:jc w:val="center"/>
              <w:rPr>
                <w:bCs/>
                <w:szCs w:val="18"/>
              </w:rPr>
            </w:pPr>
            <w:r>
              <w:rPr>
                <w:rFonts w:hint="eastAsia"/>
                <w:bCs/>
                <w:szCs w:val="18"/>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pPr>
              <w:pStyle w:val="13"/>
              <w:jc w:val="center"/>
              <w:rPr>
                <w:bCs/>
                <w:szCs w:val="18"/>
              </w:rPr>
            </w:pPr>
            <w:r>
              <w:rPr>
                <w:rFonts w:hint="eastAsia"/>
                <w:bCs/>
                <w:szCs w:val="18"/>
              </w:rPr>
              <w:t>2</w:t>
            </w:r>
            <w:r>
              <w:rPr>
                <w:bCs/>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pPr>
        <w:pStyle w:val="13"/>
        <w:numPr>
          <w:ilvl w:val="0"/>
          <w:numId w:val="2"/>
        </w:numPr>
        <w:spacing w:before="156" w:beforeLines="50"/>
        <w:ind w:left="709" w:hanging="284"/>
        <w:rPr>
          <w:bCs/>
        </w:rPr>
      </w:pPr>
      <w:r>
        <w:rPr>
          <w:rFonts w:hint="eastAsia"/>
          <w:bCs/>
        </w:rPr>
        <w:t>控制项</w:t>
      </w:r>
    </w:p>
    <w:p>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pPr>
        <w:pStyle w:val="13"/>
        <w:numPr>
          <w:ilvl w:val="0"/>
          <w:numId w:val="2"/>
        </w:numPr>
        <w:spacing w:before="156" w:beforeLines="50"/>
        <w:ind w:left="709" w:hanging="284"/>
        <w:rPr>
          <w:bCs/>
        </w:rPr>
      </w:pPr>
      <w:r>
        <w:rPr>
          <w:rFonts w:hint="eastAsia"/>
          <w:bCs/>
        </w:rPr>
        <w:t>评分项</w:t>
      </w:r>
    </w:p>
    <w:p>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pPr>
              <w:pStyle w:val="13"/>
              <w:rPr>
                <w:bCs/>
                <w:szCs w:val="18"/>
              </w:rPr>
            </w:pPr>
            <w:r>
              <w:rPr>
                <w:rFonts w:hint="eastAsia"/>
                <w:bCs/>
                <w:szCs w:val="18"/>
              </w:rPr>
              <w:t>指标分类</w:t>
            </w:r>
          </w:p>
        </w:tc>
        <w:tc>
          <w:tcPr>
            <w:tcW w:w="2977" w:type="dxa"/>
            <w:shd w:val="clear" w:color="auto" w:fill="D8D8D8" w:themeFill="background1" w:themeFillShade="D9"/>
          </w:tcPr>
          <w:p>
            <w:pPr>
              <w:pStyle w:val="13"/>
              <w:rPr>
                <w:bCs/>
                <w:szCs w:val="18"/>
              </w:rPr>
            </w:pPr>
            <w:r>
              <w:rPr>
                <w:rFonts w:hint="eastAsia"/>
                <w:bCs/>
                <w:szCs w:val="18"/>
              </w:rPr>
              <w:t>指标</w:t>
            </w:r>
          </w:p>
        </w:tc>
        <w:tc>
          <w:tcPr>
            <w:tcW w:w="1276" w:type="dxa"/>
            <w:shd w:val="clear" w:color="auto" w:fill="D8D8D8" w:themeFill="background1" w:themeFillShade="D9"/>
          </w:tcPr>
          <w:p>
            <w:pPr>
              <w:pStyle w:val="13"/>
              <w:jc w:val="center"/>
              <w:rPr>
                <w:bCs/>
                <w:szCs w:val="18"/>
              </w:rPr>
            </w:pPr>
            <w:r>
              <w:rPr>
                <w:rFonts w:hint="eastAsia"/>
                <w:bCs/>
                <w:szCs w:val="18"/>
              </w:rPr>
              <w:t>计量单位</w:t>
            </w:r>
          </w:p>
        </w:tc>
        <w:tc>
          <w:tcPr>
            <w:tcW w:w="1417" w:type="dxa"/>
            <w:shd w:val="clear" w:color="auto" w:fill="D8D8D8" w:themeFill="background1" w:themeFillShade="D9"/>
          </w:tcPr>
          <w:p>
            <w:pPr>
              <w:pStyle w:val="13"/>
              <w:jc w:val="center"/>
              <w:rPr>
                <w:bCs/>
                <w:szCs w:val="18"/>
              </w:rPr>
            </w:pPr>
            <w:r>
              <w:rPr>
                <w:rFonts w:hint="eastAsia"/>
                <w:bCs/>
                <w:szCs w:val="18"/>
              </w:rPr>
              <w:t>要求</w:t>
            </w:r>
          </w:p>
        </w:tc>
        <w:tc>
          <w:tcPr>
            <w:tcW w:w="1418" w:type="dxa"/>
            <w:shd w:val="clear" w:color="auto" w:fill="D8D8D8" w:themeFill="background1" w:themeFillShade="D9"/>
          </w:tcPr>
          <w:p>
            <w:pPr>
              <w:pStyle w:val="13"/>
              <w:jc w:val="center"/>
              <w:rPr>
                <w:bCs/>
                <w:szCs w:val="18"/>
              </w:rPr>
            </w:pPr>
            <w:r>
              <w:rPr>
                <w:rFonts w:hint="eastAsia"/>
                <w:bCs/>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13"/>
              <w:jc w:val="center"/>
              <w:rPr>
                <w:bCs/>
                <w:szCs w:val="18"/>
              </w:rPr>
            </w:pPr>
            <w:r>
              <w:rPr>
                <w:rFonts w:hint="eastAsia"/>
                <w:bCs/>
                <w:szCs w:val="18"/>
              </w:rPr>
              <w:t>化学性</w:t>
            </w:r>
          </w:p>
        </w:tc>
        <w:tc>
          <w:tcPr>
            <w:tcW w:w="2977" w:type="dxa"/>
          </w:tcPr>
          <w:p>
            <w:pPr>
              <w:pStyle w:val="13"/>
              <w:rPr>
                <w:bCs/>
                <w:szCs w:val="18"/>
              </w:rPr>
            </w:pPr>
            <w:r>
              <w:rPr>
                <w:rFonts w:hint="eastAsia"/>
                <w:bCs/>
                <w:szCs w:val="18"/>
              </w:rPr>
              <w:t>甲醛(</w:t>
            </w:r>
            <w:r>
              <w:rPr>
                <w:bCs/>
                <w:szCs w:val="18"/>
              </w:rPr>
              <w:t>HCHO)</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0.08</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苯(</w:t>
            </w:r>
            <w:r>
              <w:rPr>
                <w:bCs/>
                <w:szCs w:val="18"/>
              </w:rPr>
              <w:t>C6H6)</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甲苯(</w:t>
            </w:r>
            <w:r>
              <w:rPr>
                <w:bCs/>
                <w:szCs w:val="18"/>
              </w:rPr>
              <w:t>C7H8)</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二甲苯(</w:t>
            </w:r>
            <w:r>
              <w:rPr>
                <w:bCs/>
                <w:szCs w:val="18"/>
              </w:rPr>
              <w:t>C8H10)</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总挥发性有机化合物(</w:t>
            </w:r>
            <w:r>
              <w:rPr>
                <w:bCs/>
                <w:szCs w:val="18"/>
              </w:rPr>
              <w:t>TVOC)</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pPr>
              <w:pStyle w:val="13"/>
              <w:jc w:val="center"/>
              <w:rPr>
                <w:bCs/>
                <w:szCs w:val="18"/>
              </w:rPr>
            </w:pPr>
            <w:r>
              <w:rPr>
                <w:rFonts w:hint="eastAsia"/>
                <w:bCs/>
                <w:szCs w:val="18"/>
              </w:rPr>
              <w:t>8小时平均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0.05</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bl>
    <w:p>
      <w:pPr>
        <w:pStyle w:val="2"/>
        <w:spacing w:before="312"/>
      </w:pPr>
      <w:bookmarkStart w:id="30" w:name="_Toc19241"/>
      <w:r>
        <w:rPr>
          <w:rFonts w:hint="eastAsia"/>
        </w:rPr>
        <w:t>计算原理</w:t>
      </w:r>
      <w:bookmarkEnd w:id="29"/>
      <w:bookmarkEnd w:id="30"/>
    </w:p>
    <w:p>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31796"/>
      <w:bookmarkStart w:id="32" w:name="_Toc1662513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pPr>
        <w:pStyle w:val="11"/>
        <w:jc w:val="center"/>
        <w:rPr>
          <w:rFonts w:ascii="微软雅黑" w:hAnsi="微软雅黑" w:eastAsia="微软雅黑" w:cs="Times New Roman"/>
          <w:szCs w:val="21"/>
          <w:lang w:val="zh-CN"/>
        </w:rPr>
      </w:pPr>
      <m:oMathPara>
        <m:oMath>
          <m: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pPr>
        <w:pStyle w:val="13"/>
        <w:ind w:firstLine="360" w:firstLineChars="200"/>
        <w:rPr>
          <w:bCs/>
        </w:rPr>
      </w:pPr>
      <w:r>
        <w:rPr>
          <w:rFonts w:hint="eastAsia"/>
          <w:bCs/>
        </w:rPr>
        <w:t>其中：</w:t>
      </w:r>
    </w:p>
    <w:p>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340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pPr>
        <w:pStyle w:val="13"/>
        <w:ind w:firstLine="360" w:firstLineChars="200"/>
        <w:rPr>
          <w:bCs/>
        </w:rPr>
      </w:pPr>
      <w:r>
        <w:rPr>
          <w:rFonts w:hint="eastAsia"/>
          <w:bCs/>
        </w:rPr>
        <w:t>通过输入室外大气颗粒物信息，通风净化措施，房间渗透风量，对室内颗粒物的浓度进行评估，其计算公式如下：</w:t>
      </w:r>
    </w:p>
    <w:p>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13"/>
        <w:ind w:firstLine="420"/>
        <w:rPr>
          <w:bCs/>
        </w:rPr>
      </w:pPr>
      <w:r>
        <w:rPr>
          <w:rFonts w:hint="eastAsia"/>
          <w:bCs/>
        </w:rPr>
        <w:t>其中：</w:t>
      </w:r>
    </w:p>
    <w:p>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pPr>
        <w:pStyle w:val="2"/>
        <w:spacing w:before="312"/>
      </w:pPr>
      <w:bookmarkStart w:id="35" w:name="_Toc166251309"/>
      <w:bookmarkStart w:id="36" w:name="_Toc26799"/>
      <w:r>
        <w:rPr>
          <w:rFonts w:hint="eastAsia"/>
        </w:rPr>
        <w:t>室内空气质量评估</w:t>
      </w:r>
      <w:bookmarkEnd w:id="35"/>
      <w:bookmarkEnd w:id="36"/>
    </w:p>
    <w:p>
      <w:pPr>
        <w:pStyle w:val="13"/>
        <w:ind w:firstLine="420"/>
        <w:rPr>
          <w:bCs/>
        </w:rPr>
      </w:pPr>
      <w:r>
        <w:rPr>
          <w:rFonts w:hint="eastAsia"/>
          <w:bCs/>
        </w:rPr>
        <w:t>本项目</w:t>
      </w:r>
      <w:bookmarkStart w:id="37" w:name="主要功能房间类型判定"/>
      <w:r>
        <w:t>女卫生间、展览馆、男卫生间</w:t>
      </w:r>
      <w:bookmarkEnd w:id="37"/>
      <w:r>
        <w:rPr>
          <w:rFonts w:hint="eastAsia"/>
          <w:bCs/>
        </w:rPr>
        <w:t>设定为主要功能房间。空气质量仅针对主要功能房间进行评估。</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31322"/>
      <w:bookmarkStart w:id="39"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pPr>
        <w:pStyle w:val="4"/>
      </w:pPr>
      <w:bookmarkStart w:id="40" w:name="_Toc166251311"/>
      <w:r>
        <w:rPr>
          <w:rFonts w:hint="eastAsia"/>
        </w:rPr>
        <w:t>5</w:t>
      </w:r>
      <w:r>
        <w:t>.1.1</w:t>
      </w:r>
      <w:r>
        <w:tab/>
      </w:r>
      <w:r>
        <w:rPr>
          <w:rFonts w:hint="eastAsia"/>
        </w:rPr>
        <w:t>计算参数</w:t>
      </w:r>
      <w:bookmarkEnd w:id="40"/>
      <w:r>
        <w:tab/>
      </w:r>
    </w:p>
    <w:p>
      <w:pPr>
        <w:pStyle w:val="13"/>
        <w:ind w:firstLine="420"/>
        <w:rPr>
          <w:bCs/>
        </w:rPr>
      </w:pPr>
      <w:r>
        <w:rPr>
          <w:rFonts w:hint="eastAsia"/>
          <w:bCs/>
        </w:rPr>
        <w:t>室内空气中有机物浓度的计算，输入参数主要为装修材料污染物释放特性、材料用量以及房间渗透风量。</w:t>
      </w:r>
    </w:p>
    <w:p>
      <w:pPr>
        <w:pStyle w:val="5"/>
      </w:pPr>
      <w:r>
        <w:rPr>
          <w:rFonts w:ascii="微软雅黑" w:hAnsi="微软雅黑"/>
        </w:rPr>
        <w:t>5.1.1.1</w:t>
      </w:r>
      <w:r>
        <w:rPr>
          <w:rFonts w:ascii="微软雅黑" w:hAnsi="微软雅黑"/>
        </w:rPr>
        <w:tab/>
      </w:r>
      <w:r>
        <w:rPr>
          <w:rFonts w:hint="eastAsia"/>
        </w:rPr>
        <w:t>装修方案及装修材料污染物释放特性</w:t>
      </w:r>
    </w:p>
    <w:p>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装修方案</w:t>
            </w:r>
          </w:p>
        </w:tc>
        <w:tc>
          <w:tcPr>
            <w:gridSpan w:val="2"/>
            <w:shd w:val="clear" w:color="auto" w:fill="E6E6E6"/>
            <w:vAlign w:val="center"/>
          </w:tcPr>
          <w:p>
            <w:pPr>
              <w:jc w:val="center"/>
              <w:rPr>
                <w:sz w:val="18"/>
                <w:szCs w:val="18"/>
              </w:rPr>
            </w:pPr>
            <w:r>
              <w:rPr>
                <w:b/>
                <w:sz w:val="18"/>
                <w:szCs w:val="18"/>
              </w:rPr>
              <w:t>装修材料</w:t>
            </w:r>
          </w:p>
        </w:tc>
        <w:tc>
          <w:tcPr>
            <w:gridSpan w:val="3"/>
            <w:shd w:val="clear" w:color="auto" w:fill="E6E6E6"/>
            <w:vAlign w:val="center"/>
          </w:tcPr>
          <w:p>
            <w:pPr>
              <w:jc w:val="center"/>
              <w:rPr>
                <w:sz w:val="18"/>
                <w:szCs w:val="18"/>
              </w:rPr>
            </w:pPr>
            <w:r>
              <w:rPr>
                <w:b/>
                <w:sz w:val="18"/>
                <w:szCs w:val="18"/>
              </w:rPr>
              <w:t>污染物释放率（单位：mg/（m2·h））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shd w:val="clear" w:color="auto" w:fill="E6E6E6"/>
            <w:vAlign w:val="center"/>
          </w:tcPr>
          <w:p>
            <w:pPr>
              <w:jc w:val="center"/>
              <w:rPr>
                <w:b/>
                <w:sz w:val="18"/>
                <w:szCs w:val="18"/>
              </w:rPr>
            </w:pPr>
            <w:r>
              <w:rPr>
                <w:b/>
                <w:sz w:val="18"/>
                <w:szCs w:val="18"/>
              </w:rPr>
              <w:t>名称</w:t>
            </w:r>
          </w:p>
        </w:tc>
        <w:tc>
          <w:tcPr>
            <w:shd w:val="clear" w:color="auto" w:fill="E6E6E6"/>
            <w:vAlign w:val="center"/>
          </w:tcPr>
          <w:p>
            <w:pPr>
              <w:jc w:val="center"/>
              <w:rPr>
                <w:b/>
                <w:sz w:val="18"/>
                <w:szCs w:val="18"/>
              </w:rPr>
            </w:pPr>
            <w:r>
              <w:rPr>
                <w:b/>
                <w:sz w:val="18"/>
                <w:szCs w:val="18"/>
              </w:rPr>
              <w:t>类别</w:t>
            </w:r>
          </w:p>
        </w:tc>
        <w:tc>
          <w:tcPr>
            <w:shd w:val="clear" w:color="auto" w:fill="E6E6E6"/>
            <w:vAlign w:val="center"/>
          </w:tcPr>
          <w:p>
            <w:pPr>
              <w:jc w:val="center"/>
              <w:rPr>
                <w:b/>
                <w:sz w:val="18"/>
                <w:szCs w:val="18"/>
              </w:rPr>
            </w:pPr>
            <w:r>
              <w:rPr>
                <w:b/>
                <w:sz w:val="18"/>
                <w:szCs w:val="18"/>
              </w:rPr>
              <w:t>甲醛</w:t>
            </w:r>
          </w:p>
        </w:tc>
        <w:tc>
          <w:tcPr>
            <w:shd w:val="clear" w:color="auto" w:fill="E6E6E6"/>
            <w:vAlign w:val="center"/>
          </w:tcPr>
          <w:p>
            <w:pPr>
              <w:jc w:val="center"/>
              <w:rPr>
                <w:b/>
                <w:sz w:val="18"/>
                <w:szCs w:val="18"/>
              </w:rPr>
            </w:pPr>
            <w:r>
              <w:rPr>
                <w:b/>
                <w:sz w:val="18"/>
                <w:szCs w:val="18"/>
              </w:rPr>
              <w:t>苯</w:t>
            </w:r>
          </w:p>
        </w:tc>
        <w:tc>
          <w:tcPr>
            <w:shd w:val="clear" w:color="auto" w:fill="E6E6E6"/>
            <w:vAlign w:val="center"/>
          </w:tcPr>
          <w:p>
            <w:pPr>
              <w:jc w:val="center"/>
              <w:rPr>
                <w:b/>
                <w:sz w:val="18"/>
                <w:szCs w:val="18"/>
              </w:rPr>
            </w:pPr>
            <w:r>
              <w:rPr>
                <w:b/>
                <w:sz w:val="18"/>
                <w:szCs w:val="18"/>
              </w:rPr>
              <w:t>TVOC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（公建）商场</w:t>
            </w:r>
          </w:p>
        </w:tc>
        <w:tc>
          <w:tcPr>
            <w:vAlign w:val="center"/>
          </w:tcPr>
          <w:p>
            <w:pPr>
              <w:jc w:val="center"/>
              <w:rPr>
                <w:sz w:val="18"/>
                <w:szCs w:val="18"/>
              </w:rPr>
            </w:pPr>
            <w:r>
              <w:rPr>
                <w:sz w:val="18"/>
                <w:szCs w:val="18"/>
              </w:rPr>
              <w:t>底漆</w:t>
            </w:r>
          </w:p>
        </w:tc>
        <w:tc>
          <w:tcPr>
            <w:vAlign w:val="center"/>
          </w:tcPr>
          <w:p>
            <w:pPr>
              <w:jc w:val="center"/>
              <w:rPr>
                <w:sz w:val="18"/>
                <w:szCs w:val="18"/>
              </w:rPr>
            </w:pPr>
            <w:r>
              <w:rPr>
                <w:sz w:val="18"/>
                <w:szCs w:val="18"/>
              </w:rPr>
              <w:t>涂料</w:t>
            </w:r>
          </w:p>
        </w:tc>
        <w:tc>
          <w:tcPr>
            <w:vAlign w:val="center"/>
          </w:tcPr>
          <w:p>
            <w:pPr>
              <w:jc w:val="center"/>
              <w:rPr>
                <w:sz w:val="18"/>
                <w:szCs w:val="18"/>
              </w:rPr>
            </w:pPr>
            <w:r>
              <w:rPr>
                <w:sz w:val="18"/>
                <w:szCs w:val="18"/>
              </w:rPr>
              <w:t>0.003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0.0366</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饰面板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0.0043</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石膏板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0.0066</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0.0056</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（公建）阅览室</w:t>
            </w: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书柜</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0.04</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椅子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0.0081</w:t>
            </w:r>
            <w:r>
              <w:rPr>
                <w:sz w:val="18"/>
                <w:szCs w:val="18"/>
              </w:rPr>
              <w:br w:type="textWrapping"/>
            </w:r>
            <w:r>
              <w:rPr>
                <w:sz w:val="18"/>
                <w:szCs w:val="18"/>
              </w:rPr>
              <w:t>(F1)</w:t>
            </w:r>
          </w:p>
        </w:tc>
        <w:tc>
          <w:tcPr>
            <w:vAlign w:val="center"/>
          </w:tcPr>
          <w:p>
            <w:pPr>
              <w:jc w:val="center"/>
              <w:rPr>
                <w:sz w:val="18"/>
                <w:szCs w:val="18"/>
              </w:rPr>
            </w:pPr>
            <w:r>
              <w:rPr>
                <w:sz w:val="18"/>
                <w:szCs w:val="18"/>
              </w:rPr>
              <w:t>0.0015</w:t>
            </w:r>
            <w:r>
              <w:rPr>
                <w:sz w:val="18"/>
                <w:szCs w:val="18"/>
              </w:rPr>
              <w:br w:type="textWrapping"/>
            </w:r>
            <w:r>
              <w:rPr>
                <w:sz w:val="18"/>
                <w:szCs w:val="18"/>
              </w:rPr>
              <w:t>(F1)</w:t>
            </w:r>
          </w:p>
        </w:tc>
        <w:tc>
          <w:tcPr>
            <w:vAlign w:val="center"/>
          </w:tcPr>
          <w:p>
            <w:pPr>
              <w:jc w:val="center"/>
              <w:rPr>
                <w:sz w:val="18"/>
                <w:szCs w:val="18"/>
              </w:rPr>
            </w:pPr>
            <w:r>
              <w:rPr>
                <w:sz w:val="18"/>
                <w:szCs w:val="18"/>
              </w:rPr>
              <w:t>0.0233</w:t>
            </w:r>
            <w:r>
              <w:rPr>
                <w:sz w:val="18"/>
                <w:szCs w:val="18"/>
              </w:rPr>
              <w:br w:type="textWrapping"/>
            </w:r>
            <w:r>
              <w:rPr>
                <w:sz w:val="18"/>
                <w:szCs w:val="18"/>
              </w:rPr>
              <w:t>(F2)</w:t>
            </w:r>
          </w:p>
        </w:tc>
      </w:tr>
    </w:tbl>
    <w:p>
      <w:pPr>
        <w:rPr>
          <w:sz w:val="18"/>
          <w:szCs w:val="18"/>
        </w:rPr>
      </w:pPr>
      <w:bookmarkStart w:id="41" w:name="装修方案及污染物释放率"/>
      <w:bookmarkEnd w:id="41"/>
    </w:p>
    <w:p>
      <w:pPr>
        <w:pStyle w:val="5"/>
      </w:pPr>
      <w:r>
        <w:rPr>
          <w:rFonts w:hint="eastAsia" w:ascii="微软雅黑" w:hAnsi="微软雅黑"/>
        </w:rPr>
        <w:t>5</w:t>
      </w:r>
      <w:r>
        <w:rPr>
          <w:rFonts w:ascii="微软雅黑" w:hAnsi="微软雅黑"/>
        </w:rPr>
        <w:t>.1.1.2</w:t>
      </w:r>
      <w:r>
        <w:tab/>
      </w:r>
      <w:r>
        <w:rPr>
          <w:rFonts w:hint="eastAsia"/>
        </w:rPr>
        <w:t>渗透风量</w:t>
      </w:r>
    </w:p>
    <w:p>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pPr>
        <w:pStyle w:val="13"/>
        <w:ind w:firstLine="360" w:firstLineChars="200"/>
        <w:rPr>
          <w:bCs/>
        </w:rPr>
      </w:pPr>
      <w:bookmarkStart w:id="42" w:name="渗透风量"/>
      <w:r>
        <w:t>本项目忽略渗透风量的影响。</w:t>
      </w:r>
      <w:bookmarkEnd w:id="42"/>
    </w:p>
    <w:p>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b/>
                <w:sz w:val="18"/>
                <w:szCs w:val="18"/>
              </w:rPr>
              <w:t>标准层</w:t>
            </w:r>
          </w:p>
        </w:tc>
        <w:tc>
          <w:tcPr>
            <w:shd w:val="clear" w:color="auto" w:fill="E6E6E6"/>
            <w:vAlign w:val="center"/>
          </w:tcPr>
          <w:p>
            <w:pPr>
              <w:jc w:val="center"/>
              <w:rPr>
                <w:sz w:val="18"/>
                <w:szCs w:val="18"/>
              </w:rPr>
            </w:pPr>
            <w:r>
              <w:rPr>
                <w:b/>
                <w:sz w:val="18"/>
                <w:szCs w:val="18"/>
              </w:rPr>
              <w:t>房间编号</w:t>
            </w:r>
          </w:p>
        </w:tc>
        <w:tc>
          <w:tcPr>
            <w:shd w:val="clear" w:color="auto" w:fill="E6E6E6"/>
            <w:vAlign w:val="center"/>
          </w:tcPr>
          <w:p>
            <w:pPr>
              <w:jc w:val="center"/>
              <w:rPr>
                <w:sz w:val="18"/>
                <w:szCs w:val="18"/>
              </w:rPr>
            </w:pPr>
            <w:r>
              <w:rPr>
                <w:b/>
                <w:sz w:val="18"/>
                <w:szCs w:val="18"/>
              </w:rPr>
              <w:t>房间名称</w:t>
            </w:r>
          </w:p>
        </w:tc>
        <w:tc>
          <w:tcPr>
            <w:shd w:val="clear" w:color="auto" w:fill="E6E6E6"/>
            <w:vAlign w:val="center"/>
          </w:tcPr>
          <w:p>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pPr>
              <w:jc w:val="center"/>
              <w:rPr>
                <w:sz w:val="18"/>
                <w:szCs w:val="18"/>
              </w:rPr>
            </w:pPr>
            <w:r>
              <w:rPr>
                <w:b/>
                <w:sz w:val="18"/>
                <w:szCs w:val="18"/>
              </w:rPr>
              <w:t>缝隙长度</w:t>
            </w:r>
            <w:r>
              <w:rPr>
                <w:b/>
                <w:sz w:val="18"/>
                <w:szCs w:val="18"/>
              </w:rPr>
              <w:br w:type="textWrapping"/>
            </w:r>
            <w:r>
              <w:rPr>
                <w:b/>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1层</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bl>
    <w:p>
      <w:pPr>
        <w:rPr>
          <w:sz w:val="18"/>
          <w:szCs w:val="18"/>
        </w:rPr>
      </w:pPr>
      <w:bookmarkStart w:id="44" w:name="标准层渗透风量表"/>
      <w:bookmarkEnd w:id="44"/>
    </w:p>
    <w:p>
      <w:pPr>
        <w:pStyle w:val="4"/>
      </w:pPr>
      <w:r>
        <w:t>5.1.2</w:t>
      </w:r>
      <w:r>
        <w:tab/>
      </w:r>
      <w:r>
        <w:rPr>
          <w:rFonts w:hint="eastAsia"/>
        </w:rPr>
        <w:t>计算结果</w:t>
      </w:r>
      <w:bookmarkEnd w:id="43"/>
    </w:p>
    <w:p>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pPr>
              <w:pStyle w:val="13"/>
              <w:jc w:val="center"/>
              <w:rPr>
                <w:b/>
                <w:szCs w:val="18"/>
              </w:rPr>
            </w:pPr>
            <w:r>
              <w:rPr>
                <w:rFonts w:hint="eastAsia"/>
                <w:b/>
                <w:szCs w:val="18"/>
              </w:rPr>
              <w:t>浓度</w:t>
            </w:r>
          </w:p>
          <w:p>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pPr>
              <w:pStyle w:val="13"/>
              <w:jc w:val="center"/>
              <w:rPr>
                <w:b/>
                <w:szCs w:val="18"/>
              </w:rPr>
            </w:pPr>
            <w:r>
              <w:rPr>
                <w:rFonts w:hint="eastAsia"/>
                <w:b/>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pPr>
              <w:pStyle w:val="13"/>
              <w:jc w:val="center"/>
              <w:rPr>
                <w:b/>
                <w:szCs w:val="18"/>
              </w:rPr>
            </w:pPr>
          </w:p>
        </w:tc>
        <w:tc>
          <w:tcPr>
            <w:tcW w:w="681" w:type="dxa"/>
            <w:vMerge w:val="continue"/>
            <w:shd w:val="clear" w:color="auto" w:fill="D0CECE" w:themeFill="background2" w:themeFillShade="E6"/>
            <w:vAlign w:val="center"/>
          </w:tcPr>
          <w:p>
            <w:pPr>
              <w:pStyle w:val="13"/>
              <w:jc w:val="center"/>
              <w:rPr>
                <w:b/>
                <w:szCs w:val="18"/>
              </w:rPr>
            </w:pPr>
          </w:p>
        </w:tc>
        <w:tc>
          <w:tcPr>
            <w:tcW w:w="771" w:type="dxa"/>
            <w:vMerge w:val="continue"/>
            <w:shd w:val="clear" w:color="auto" w:fill="D0CECE" w:themeFill="background2" w:themeFillShade="E6"/>
            <w:vAlign w:val="center"/>
          </w:tcPr>
          <w:p>
            <w:pPr>
              <w:pStyle w:val="13"/>
              <w:jc w:val="center"/>
              <w:rPr>
                <w:b/>
                <w:szCs w:val="18"/>
              </w:rPr>
            </w:pPr>
          </w:p>
        </w:tc>
        <w:tc>
          <w:tcPr>
            <w:tcW w:w="711" w:type="dxa"/>
            <w:shd w:val="clear" w:color="auto" w:fill="D0CECE" w:themeFill="background2" w:themeFillShade="E6"/>
            <w:vAlign w:val="center"/>
          </w:tcPr>
          <w:p>
            <w:pPr>
              <w:pStyle w:val="13"/>
              <w:jc w:val="center"/>
              <w:rPr>
                <w:b/>
                <w:szCs w:val="18"/>
              </w:rPr>
            </w:pPr>
            <w:r>
              <w:rPr>
                <w:rFonts w:hint="eastAsia"/>
                <w:b/>
                <w:szCs w:val="18"/>
              </w:rPr>
              <w:t>限值</w:t>
            </w:r>
          </w:p>
        </w:tc>
        <w:tc>
          <w:tcPr>
            <w:tcW w:w="709" w:type="dxa"/>
            <w:shd w:val="clear" w:color="auto" w:fill="D0CECE" w:themeFill="background2" w:themeFillShade="E6"/>
            <w:vAlign w:val="center"/>
          </w:tcPr>
          <w:p>
            <w:pPr>
              <w:pStyle w:val="13"/>
              <w:jc w:val="center"/>
              <w:rPr>
                <w:b/>
                <w:szCs w:val="18"/>
              </w:rPr>
            </w:pPr>
            <w:r>
              <w:rPr>
                <w:rFonts w:hint="eastAsia"/>
                <w:b/>
                <w:szCs w:val="18"/>
              </w:rPr>
              <w:t>判定</w:t>
            </w:r>
          </w:p>
        </w:tc>
        <w:tc>
          <w:tcPr>
            <w:tcW w:w="1276" w:type="dxa"/>
            <w:shd w:val="clear" w:color="auto" w:fill="D0CECE" w:themeFill="background2" w:themeFillShade="E6"/>
            <w:vAlign w:val="center"/>
          </w:tcPr>
          <w:p>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pPr>
              <w:pStyle w:val="13"/>
              <w:jc w:val="center"/>
              <w:rPr>
                <w:b/>
                <w:szCs w:val="18"/>
              </w:rPr>
            </w:pPr>
            <w:r>
              <w:rPr>
                <w:rFonts w:hint="eastAsia"/>
                <w:b/>
                <w:szCs w:val="18"/>
              </w:rPr>
              <w:t>分值</w:t>
            </w:r>
          </w:p>
        </w:tc>
        <w:tc>
          <w:tcPr>
            <w:tcW w:w="2104" w:type="dxa"/>
            <w:shd w:val="clear" w:color="auto" w:fill="D0CECE" w:themeFill="background2" w:themeFillShade="E6"/>
            <w:vAlign w:val="center"/>
          </w:tcPr>
          <w:p>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pPr>
              <w:pStyle w:val="13"/>
              <w:jc w:val="center"/>
              <w:rPr>
                <w:b/>
                <w:szCs w:val="18"/>
              </w:rPr>
            </w:pPr>
            <w:r>
              <w:rPr>
                <w:rFonts w:hint="eastAsia"/>
                <w:b/>
                <w:szCs w:val="18"/>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809" w:type="dxa"/>
            <w:vAlign w:val="center"/>
          </w:tcPr>
          <w:p>
            <w:pPr>
              <w:pStyle w:val="13"/>
              <w:jc w:val="center"/>
              <w:rPr>
                <w:szCs w:val="18"/>
              </w:rPr>
            </w:pPr>
            <w:r>
              <w:rPr>
                <w:rFonts w:hint="eastAsia"/>
                <w:szCs w:val="18"/>
              </w:rPr>
              <w:t>甲醛</w:t>
            </w:r>
          </w:p>
        </w:tc>
        <w:tc>
          <w:tcPr>
            <w:tcW w:w="681" w:type="dxa"/>
            <w:vAlign w:val="center"/>
          </w:tcPr>
          <w:p>
            <w:pPr>
              <w:pStyle w:val="13"/>
              <w:jc w:val="center"/>
              <w:rPr>
                <w:szCs w:val="18"/>
              </w:rPr>
            </w:pPr>
            <w:bookmarkStart w:id="45" w:name="最不利甲醛浓度"/>
            <w:r>
              <w:t>0.018</w:t>
            </w:r>
            <w:bookmarkEnd w:id="45"/>
          </w:p>
        </w:tc>
        <w:tc>
          <w:tcPr>
            <w:tcW w:w="771" w:type="dxa"/>
            <w:vAlign w:val="center"/>
          </w:tcPr>
          <w:p>
            <w:pPr>
              <w:pStyle w:val="13"/>
              <w:jc w:val="center"/>
              <w:rPr>
                <w:szCs w:val="18"/>
              </w:rPr>
            </w:pPr>
            <w:bookmarkStart w:id="46" w:name="最不利甲醛浓度降幅"/>
            <w:r>
              <w:t>77.8%</w:t>
            </w:r>
            <w:bookmarkEnd w:id="46"/>
          </w:p>
        </w:tc>
        <w:tc>
          <w:tcPr>
            <w:tcW w:w="711" w:type="dxa"/>
            <w:vAlign w:val="center"/>
          </w:tcPr>
          <w:p>
            <w:pPr>
              <w:pStyle w:val="13"/>
              <w:jc w:val="center"/>
              <w:rPr>
                <w:szCs w:val="18"/>
              </w:rPr>
            </w:pPr>
            <w:r>
              <w:rPr>
                <w:szCs w:val="18"/>
              </w:rPr>
              <w:t>0.08</w:t>
            </w:r>
          </w:p>
        </w:tc>
        <w:tc>
          <w:tcPr>
            <w:tcW w:w="709" w:type="dxa"/>
            <w:vAlign w:val="center"/>
          </w:tcPr>
          <w:p>
            <w:pPr>
              <w:pStyle w:val="13"/>
              <w:jc w:val="center"/>
              <w:rPr>
                <w:szCs w:val="18"/>
              </w:rPr>
            </w:pPr>
            <w:bookmarkStart w:id="47" w:name="最不利甲醛判定"/>
            <w:r>
              <w:t>达标</w:t>
            </w:r>
            <w:bookmarkEnd w:id="47"/>
          </w:p>
        </w:tc>
        <w:tc>
          <w:tcPr>
            <w:tcW w:w="1276" w:type="dxa"/>
            <w:vAlign w:val="center"/>
          </w:tcPr>
          <w:p>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48" w:name="最不利甲醛分值"/>
            <w:r>
              <w:t>6</w:t>
            </w:r>
            <w:bookmarkEnd w:id="4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49" w:name="最不利甲醛星级"/>
            <w:r>
              <w:t>二、三星级</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苯</w:t>
            </w:r>
          </w:p>
        </w:tc>
        <w:tc>
          <w:tcPr>
            <w:tcW w:w="681" w:type="dxa"/>
            <w:vAlign w:val="center"/>
          </w:tcPr>
          <w:p>
            <w:pPr>
              <w:pStyle w:val="13"/>
              <w:jc w:val="center"/>
              <w:rPr>
                <w:szCs w:val="18"/>
              </w:rPr>
            </w:pPr>
            <w:bookmarkStart w:id="50" w:name="最不利苯浓度"/>
            <w:r>
              <w:t>0.001</w:t>
            </w:r>
            <w:bookmarkEnd w:id="50"/>
          </w:p>
        </w:tc>
        <w:tc>
          <w:tcPr>
            <w:tcW w:w="771" w:type="dxa"/>
            <w:vAlign w:val="center"/>
          </w:tcPr>
          <w:p>
            <w:pPr>
              <w:pStyle w:val="13"/>
              <w:jc w:val="center"/>
              <w:rPr>
                <w:szCs w:val="18"/>
              </w:rPr>
            </w:pPr>
            <w:bookmarkStart w:id="51" w:name="最不利苯浓度降幅"/>
            <w:r>
              <w:t>96.9%</w:t>
            </w:r>
            <w:bookmarkEnd w:id="51"/>
          </w:p>
        </w:tc>
        <w:tc>
          <w:tcPr>
            <w:tcW w:w="711" w:type="dxa"/>
            <w:vAlign w:val="center"/>
          </w:tcPr>
          <w:p>
            <w:pPr>
              <w:pStyle w:val="13"/>
              <w:jc w:val="center"/>
              <w:rPr>
                <w:szCs w:val="18"/>
              </w:rPr>
            </w:pPr>
            <w:r>
              <w:rPr>
                <w:rFonts w:hint="eastAsia"/>
                <w:szCs w:val="18"/>
              </w:rPr>
              <w:t>0</w:t>
            </w:r>
            <w:r>
              <w:rPr>
                <w:szCs w:val="18"/>
              </w:rPr>
              <w:t>.03</w:t>
            </w:r>
          </w:p>
        </w:tc>
        <w:tc>
          <w:tcPr>
            <w:tcW w:w="709" w:type="dxa"/>
            <w:vAlign w:val="center"/>
          </w:tcPr>
          <w:p>
            <w:pPr>
              <w:pStyle w:val="13"/>
              <w:jc w:val="center"/>
              <w:rPr>
                <w:szCs w:val="18"/>
              </w:rPr>
            </w:pPr>
            <w:bookmarkStart w:id="52" w:name="最不利苯判定"/>
            <w:r>
              <w:t>达标</w:t>
            </w:r>
            <w:bookmarkEnd w:id="52"/>
          </w:p>
        </w:tc>
        <w:tc>
          <w:tcPr>
            <w:tcW w:w="1276" w:type="dxa"/>
            <w:vAlign w:val="center"/>
          </w:tcPr>
          <w:p>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3" w:name="最不利苯分值"/>
            <w:r>
              <w:t>6</w:t>
            </w:r>
            <w:bookmarkEnd w:id="53"/>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pPr>
              <w:pStyle w:val="13"/>
              <w:jc w:val="center"/>
              <w:rPr>
                <w:szCs w:val="18"/>
              </w:rPr>
            </w:pPr>
            <w:bookmarkStart w:id="54" w:name="最不利苯星级"/>
            <w:r>
              <w:t>二、三星级</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T</w:t>
            </w:r>
            <w:r>
              <w:rPr>
                <w:szCs w:val="18"/>
              </w:rPr>
              <w:t>VOC</w:t>
            </w:r>
          </w:p>
        </w:tc>
        <w:tc>
          <w:tcPr>
            <w:tcW w:w="681" w:type="dxa"/>
            <w:vAlign w:val="center"/>
          </w:tcPr>
          <w:p>
            <w:pPr>
              <w:pStyle w:val="13"/>
              <w:jc w:val="center"/>
              <w:rPr>
                <w:szCs w:val="18"/>
              </w:rPr>
            </w:pPr>
            <w:bookmarkStart w:id="55" w:name="最不利TVOC浓度"/>
            <w:r>
              <w:t>0.148</w:t>
            </w:r>
            <w:bookmarkEnd w:id="55"/>
          </w:p>
        </w:tc>
        <w:tc>
          <w:tcPr>
            <w:tcW w:w="771" w:type="dxa"/>
            <w:vAlign w:val="center"/>
          </w:tcPr>
          <w:p>
            <w:pPr>
              <w:pStyle w:val="13"/>
              <w:jc w:val="center"/>
              <w:rPr>
                <w:szCs w:val="18"/>
              </w:rPr>
            </w:pPr>
            <w:bookmarkStart w:id="56" w:name="最不利TVOC浓度降幅"/>
            <w:r>
              <w:t>75.4%</w:t>
            </w:r>
            <w:bookmarkEnd w:id="56"/>
          </w:p>
        </w:tc>
        <w:tc>
          <w:tcPr>
            <w:tcW w:w="711" w:type="dxa"/>
            <w:vAlign w:val="center"/>
          </w:tcPr>
          <w:p>
            <w:pPr>
              <w:pStyle w:val="13"/>
              <w:jc w:val="center"/>
              <w:rPr>
                <w:szCs w:val="18"/>
              </w:rPr>
            </w:pPr>
            <w:r>
              <w:rPr>
                <w:rFonts w:hint="eastAsia"/>
                <w:szCs w:val="18"/>
              </w:rPr>
              <w:t>0</w:t>
            </w:r>
            <w:r>
              <w:rPr>
                <w:szCs w:val="18"/>
              </w:rPr>
              <w:t>.6</w:t>
            </w:r>
          </w:p>
        </w:tc>
        <w:tc>
          <w:tcPr>
            <w:tcW w:w="709" w:type="dxa"/>
            <w:vAlign w:val="center"/>
          </w:tcPr>
          <w:p>
            <w:pPr>
              <w:pStyle w:val="13"/>
              <w:jc w:val="center"/>
              <w:rPr>
                <w:szCs w:val="18"/>
              </w:rPr>
            </w:pPr>
            <w:bookmarkStart w:id="57" w:name="最不利TVOC判定"/>
            <w:r>
              <w:t>达标</w:t>
            </w:r>
            <w:bookmarkEnd w:id="57"/>
          </w:p>
        </w:tc>
        <w:tc>
          <w:tcPr>
            <w:tcW w:w="1276" w:type="dxa"/>
            <w:vAlign w:val="center"/>
          </w:tcPr>
          <w:p>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8" w:name="最不利TVOC分值"/>
            <w:r>
              <w:t>6</w:t>
            </w:r>
            <w:bookmarkEnd w:id="5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59" w:name="最不利TVOC星级"/>
            <w:r>
              <w:t>二、三星级</w:t>
            </w:r>
            <w:bookmarkEnd w:id="59"/>
          </w:p>
        </w:tc>
      </w:tr>
    </w:tbl>
    <w:p>
      <w:pPr>
        <w:jc w:val="center"/>
      </w:pPr>
      <w:bookmarkStart w:id="60" w:name="有机物达标判定图"/>
      <w:bookmarkEnd w:id="60"/>
      <w:r>
        <w:drawing>
          <wp:inline distT="0" distB="0" distL="0" distR="0">
            <wp:extent cx="5667375" cy="3657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657600"/>
                    </a:xfrm>
                    <a:prstGeom prst="rect">
                      <a:avLst/>
                    </a:prstGeom>
                  </pic:spPr>
                </pic:pic>
              </a:graphicData>
            </a:graphic>
          </wp:inline>
        </w:drawing>
      </w:r>
    </w:p>
    <w:p>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0854"/>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pPr>
        <w:pStyle w:val="4"/>
      </w:pPr>
      <w:bookmarkStart w:id="63" w:name="_Toc166251314"/>
      <w:r>
        <w:t>5.2.1</w:t>
      </w:r>
      <w:r>
        <w:tab/>
      </w:r>
      <w:r>
        <w:rPr>
          <w:rFonts w:hint="eastAsia"/>
        </w:rPr>
        <w:t>计算参数</w:t>
      </w:r>
      <w:bookmarkEnd w:id="63"/>
    </w:p>
    <w:p>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pPr>
        <w:pStyle w:val="5"/>
      </w:pPr>
      <w:r>
        <w:t>5.2.1.1</w:t>
      </w:r>
      <w:r>
        <w:tab/>
      </w:r>
      <w:r>
        <w:rPr>
          <w:rFonts w:hint="eastAsia"/>
        </w:rPr>
        <w:t>室内颗粒物源强</w:t>
      </w:r>
    </w:p>
    <w:p>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pPr>
        <w:pStyle w:val="5"/>
      </w:pPr>
      <w:r>
        <w:t>5.2.1.2</w:t>
      </w:r>
      <w:r>
        <w:tab/>
      </w:r>
      <w:r>
        <w:rPr>
          <w:rFonts w:hint="eastAsia"/>
        </w:rPr>
        <w:t>室外颗粒物污染源浓度</w:t>
      </w:r>
    </w:p>
    <w:p>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pPr>
        <w:pStyle w:val="5"/>
      </w:pPr>
      <w:r>
        <w:t>5.2.1.3</w:t>
      </w:r>
      <w:r>
        <w:tab/>
      </w:r>
      <w:r>
        <w:rPr>
          <w:rFonts w:hint="eastAsia"/>
        </w:rPr>
        <w:t>渗透风量</w:t>
      </w:r>
    </w:p>
    <w:p>
      <w:pPr>
        <w:pStyle w:val="13"/>
        <w:ind w:firstLine="360" w:firstLineChars="200"/>
        <w:rPr>
          <w:bCs/>
        </w:rPr>
      </w:pPr>
      <w:r>
        <w:rPr>
          <w:rFonts w:hint="eastAsia"/>
          <w:bCs/>
        </w:rPr>
        <w:t>本项目标准层渗透风量内容已于第5</w:t>
      </w:r>
      <w:r>
        <w:rPr>
          <w:bCs/>
        </w:rPr>
        <w:t>.1.1.2</w:t>
      </w:r>
      <w:r>
        <w:rPr>
          <w:rFonts w:hint="eastAsia"/>
          <w:bCs/>
        </w:rPr>
        <w:t>条阐述。</w:t>
      </w:r>
    </w:p>
    <w:p>
      <w:pPr>
        <w:pStyle w:val="5"/>
      </w:pPr>
      <w:r>
        <w:t>5.2.1.4</w:t>
      </w:r>
      <w:r>
        <w:tab/>
      </w:r>
      <w:r>
        <w:rPr>
          <w:rFonts w:hint="eastAsia"/>
        </w:rPr>
        <w:t>房间通风净化</w:t>
      </w:r>
    </w:p>
    <w:p>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主要功能房间</w:t>
            </w:r>
          </w:p>
        </w:tc>
        <w:tc>
          <w:tcPr>
            <w:gridSpan w:val="2"/>
            <w:shd w:val="clear" w:color="auto" w:fill="E6E6E6"/>
            <w:vAlign w:val="center"/>
          </w:tcPr>
          <w:p>
            <w:pPr>
              <w:jc w:val="center"/>
              <w:rPr>
                <w:sz w:val="18"/>
                <w:szCs w:val="18"/>
              </w:rPr>
            </w:pPr>
            <w:r>
              <w:rPr>
                <w:b/>
                <w:sz w:val="18"/>
                <w:szCs w:val="18"/>
              </w:rPr>
              <w:t>通风净化方案</w:t>
            </w:r>
          </w:p>
        </w:tc>
        <w:tc>
          <w:tcPr>
            <w:gridSpan w:val="6"/>
            <w:shd w:val="clear" w:color="auto" w:fill="E6E6E6"/>
            <w:vAlign w:val="center"/>
          </w:tcPr>
          <w:p>
            <w:pPr>
              <w:jc w:val="center"/>
              <w:rPr>
                <w:sz w:val="18"/>
                <w:szCs w:val="18"/>
              </w:rPr>
            </w:pPr>
            <w:r>
              <w:rPr>
                <w:b/>
                <w:sz w:val="18"/>
                <w:szCs w:val="18"/>
              </w:rPr>
              <w:t>通风净化方案对应参数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restart"/>
            <w:shd w:val="clear" w:color="auto" w:fill="E6E6E6"/>
            <w:vAlign w:val="center"/>
          </w:tcPr>
          <w:p>
            <w:pPr>
              <w:jc w:val="center"/>
              <w:rPr>
                <w:b/>
                <w:sz w:val="18"/>
                <w:szCs w:val="18"/>
              </w:rPr>
            </w:pPr>
            <w:r>
              <w:rPr>
                <w:b/>
                <w:sz w:val="18"/>
                <w:szCs w:val="18"/>
              </w:rPr>
              <w:t>通风方案</w:t>
            </w:r>
          </w:p>
        </w:tc>
        <w:tc>
          <w:tcPr>
            <w:vMerge w:val="restart"/>
            <w:shd w:val="clear" w:color="auto" w:fill="E6E6E6"/>
            <w:vAlign w:val="center"/>
          </w:tcPr>
          <w:p>
            <w:pPr>
              <w:jc w:val="center"/>
              <w:rPr>
                <w:b/>
                <w:sz w:val="18"/>
                <w:szCs w:val="18"/>
              </w:rPr>
            </w:pPr>
            <w:r>
              <w:rPr>
                <w:b/>
                <w:sz w:val="18"/>
                <w:szCs w:val="18"/>
              </w:rPr>
              <w:t>净化器</w:t>
            </w:r>
          </w:p>
        </w:tc>
        <w:tc>
          <w:tcPr>
            <w:vMerge w:val="restart"/>
            <w:shd w:val="clear" w:color="auto" w:fill="E6E6E6"/>
            <w:vAlign w:val="center"/>
          </w:tcPr>
          <w:p>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1007</w:t>
            </w:r>
            <w:r>
              <w:rPr>
                <w:sz w:val="18"/>
                <w:szCs w:val="18"/>
              </w:rPr>
              <w:br w:type="textWrapping"/>
            </w:r>
            <w:r>
              <w:rPr>
                <w:sz w:val="18"/>
                <w:szCs w:val="18"/>
              </w:rPr>
              <w:t>男卫生间</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67.78</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271.13</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1006</w:t>
            </w:r>
            <w:r>
              <w:rPr>
                <w:sz w:val="18"/>
                <w:szCs w:val="18"/>
              </w:rPr>
              <w:br w:type="textWrapping"/>
            </w:r>
            <w:r>
              <w:rPr>
                <w:sz w:val="18"/>
                <w:szCs w:val="18"/>
              </w:rPr>
              <w:t>女卫生间</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76.10</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304.41</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1001</w:t>
            </w:r>
            <w:r>
              <w:rPr>
                <w:sz w:val="18"/>
                <w:szCs w:val="18"/>
              </w:rPr>
              <w:br w:type="textWrapping"/>
            </w:r>
            <w:r>
              <w:rPr>
                <w:sz w:val="18"/>
                <w:szCs w:val="18"/>
              </w:rPr>
              <w:t>展览馆</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4732.58</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18930.30</w:t>
            </w:r>
          </w:p>
        </w:tc>
        <w:tc>
          <w:tcPr>
            <w:vAlign w:val="center"/>
          </w:tcPr>
          <w:p>
            <w:pPr>
              <w:jc w:val="center"/>
              <w:rPr>
                <w:sz w:val="18"/>
                <w:szCs w:val="18"/>
              </w:rPr>
            </w:pPr>
            <w:r>
              <w:rPr>
                <w:sz w:val="18"/>
                <w:szCs w:val="18"/>
              </w:rPr>
              <w:t>0.90</w:t>
            </w:r>
          </w:p>
        </w:tc>
      </w:tr>
    </w:tbl>
    <w:p>
      <w:pPr>
        <w:rPr>
          <w:sz w:val="18"/>
          <w:szCs w:val="18"/>
        </w:rPr>
      </w:pPr>
      <w:bookmarkStart w:id="66" w:name="标准层通风净化方案及参数"/>
      <w:bookmarkEnd w:id="66"/>
    </w:p>
    <w:p>
      <w:pPr>
        <w:pStyle w:val="4"/>
      </w:pPr>
      <w:bookmarkStart w:id="67" w:name="_Toc166251315"/>
      <w:r>
        <w:t>5.2.2</w:t>
      </w:r>
      <w:r>
        <w:tab/>
      </w:r>
      <w:r>
        <w:rPr>
          <w:rFonts w:hint="eastAsia"/>
        </w:rPr>
        <w:t>计算结果</w:t>
      </w:r>
      <w:bookmarkEnd w:id="67"/>
    </w:p>
    <w:p>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68" w:name="颗粒物最不利PM25年均"/>
            <w:r>
              <w:t>0.5</w:t>
            </w:r>
            <w:bookmarkEnd w:id="68"/>
            <w:r>
              <w:rPr>
                <w:rFonts w:hint="eastAsia"/>
                <w:sz w:val="18"/>
                <w:szCs w:val="18"/>
              </w:rPr>
              <w:t xml:space="preserve"> (年均)</w:t>
            </w:r>
          </w:p>
          <w:p>
            <w:pPr>
              <w:jc w:val="center"/>
              <w:rPr>
                <w:sz w:val="18"/>
                <w:szCs w:val="18"/>
              </w:rPr>
            </w:pPr>
            <w:bookmarkStart w:id="69" w:name="颗粒物最不利PM25日均"/>
            <w:r>
              <w:t>0.001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0" w:name="颗粒物最不利PM25浓度降幅"/>
            <w:r>
              <w:t>98.3%</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降10%(一星级)</w:t>
            </w:r>
          </w:p>
          <w:p>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2" w:name="颗粒物最不利星级"/>
            <w:r>
              <w:t>二、三星级</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3" w:name="颗粒物最不利PM10年均"/>
            <w:r>
              <w:t>0.9</w:t>
            </w:r>
            <w:bookmarkEnd w:id="73"/>
            <w:r>
              <w:rPr>
                <w:rFonts w:hint="eastAsia"/>
                <w:sz w:val="18"/>
                <w:szCs w:val="18"/>
              </w:rPr>
              <w:t xml:space="preserve"> (年均)</w:t>
            </w:r>
          </w:p>
          <w:p>
            <w:pPr>
              <w:jc w:val="center"/>
              <w:rPr>
                <w:sz w:val="18"/>
                <w:szCs w:val="18"/>
              </w:rPr>
            </w:pPr>
            <w:bookmarkStart w:id="74" w:name="颗粒物最不利PM10日均"/>
            <w:r>
              <w:t>0.002</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rFonts w:hint="eastAsia"/>
                <w:sz w:val="18"/>
                <w:szCs w:val="18"/>
              </w:rPr>
              <w:t>—</w:t>
            </w:r>
          </w:p>
        </w:tc>
      </w:tr>
    </w:tbl>
    <w:p>
      <w:pPr>
        <w:pStyle w:val="11"/>
        <w:spacing w:after="312" w:afterLines="100"/>
        <w:rPr>
          <w:rFonts w:ascii="微软雅黑" w:hAnsi="微软雅黑" w:eastAsia="微软雅黑" w:cs="Times New Roman"/>
          <w:sz w:val="18"/>
          <w:szCs w:val="18"/>
        </w:rPr>
      </w:pPr>
    </w:p>
    <w:p>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pStyle w:val="2"/>
        <w:spacing w:before="312"/>
      </w:pPr>
      <w:bookmarkStart w:id="78" w:name="_Toc30405"/>
      <w:bookmarkStart w:id="79" w:name="_Toc166251316"/>
      <w:r>
        <w:rPr>
          <w:rFonts w:hint="eastAsia"/>
        </w:rPr>
        <w:t>结论</w:t>
      </w:r>
      <w:bookmarkEnd w:id="78"/>
      <w:bookmarkEnd w:id="79"/>
    </w:p>
    <w:p>
      <w:pPr>
        <w:pStyle w:val="13"/>
        <w:ind w:firstLine="360" w:firstLineChars="200"/>
        <w:rPr>
          <w:bCs/>
        </w:rPr>
      </w:pPr>
      <w:r>
        <w:rPr>
          <w:rFonts w:hint="eastAsia"/>
          <w:bCs/>
        </w:rPr>
        <w:t>本项目按照标准要求对所有主要功能房间进行了室内空气质量评价指标的计算，结果如下：</w:t>
      </w:r>
    </w:p>
    <w:p>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pPr>
              <w:jc w:val="center"/>
              <w:rPr>
                <w:rFonts w:cs="宋体"/>
                <w:b/>
                <w:bCs/>
                <w:kern w:val="0"/>
                <w:sz w:val="18"/>
                <w:szCs w:val="18"/>
              </w:rPr>
            </w:pPr>
            <w:r>
              <w:rPr>
                <w:rFonts w:hint="eastAsia" w:cs="宋体"/>
                <w:b/>
                <w:bCs/>
                <w:kern w:val="0"/>
                <w:sz w:val="18"/>
                <w:szCs w:val="18"/>
              </w:rPr>
              <w:t>结论/得分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pPr>
              <w:pStyle w:val="13"/>
              <w:rPr>
                <w:bCs/>
                <w:szCs w:val="18"/>
              </w:rPr>
            </w:pPr>
            <w:r>
              <w:rPr>
                <w:bCs/>
                <w:szCs w:val="18"/>
              </w:rPr>
              <w:t xml:space="preserve">3.2.8 </w:t>
            </w:r>
            <w:r>
              <w:rPr>
                <w:rFonts w:hint="eastAsia"/>
                <w:bCs/>
                <w:szCs w:val="18"/>
              </w:rPr>
              <w:t>绿色建筑星级等级应按下列规定确定：</w:t>
            </w:r>
          </w:p>
          <w:p>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pPr>
                    <w:pStyle w:val="13"/>
                    <w:rPr>
                      <w:bCs/>
                      <w:sz w:val="15"/>
                      <w:szCs w:val="15"/>
                    </w:rPr>
                  </w:pPr>
                </w:p>
              </w:tc>
              <w:tc>
                <w:tcPr>
                  <w:tcW w:w="1228" w:type="dxa"/>
                  <w:tcBorders>
                    <w:bottom w:val="single" w:color="auto" w:sz="4" w:space="0"/>
                  </w:tcBorders>
                  <w:vAlign w:val="center"/>
                </w:tcPr>
                <w:p>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pPr>
                    <w:pStyle w:val="13"/>
                    <w:jc w:val="center"/>
                    <w:rPr>
                      <w:bCs/>
                      <w:sz w:val="15"/>
                      <w:szCs w:val="15"/>
                    </w:rPr>
                  </w:pPr>
                  <w:r>
                    <w:rPr>
                      <w:rFonts w:hint="eastAsia"/>
                      <w:bCs/>
                      <w:sz w:val="15"/>
                      <w:szCs w:val="15"/>
                    </w:rPr>
                    <w:t>2</w:t>
                  </w:r>
                  <w:r>
                    <w:rPr>
                      <w:bCs/>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pPr>
              <w:jc w:val="center"/>
              <w:rPr>
                <w:rFonts w:cs="宋体"/>
                <w:b/>
                <w:bCs/>
                <w:kern w:val="0"/>
                <w:sz w:val="18"/>
                <w:szCs w:val="18"/>
              </w:rPr>
            </w:pPr>
          </w:p>
        </w:tc>
        <w:tc>
          <w:tcPr>
            <w:tcW w:w="1540" w:type="dxa"/>
            <w:shd w:val="clear" w:color="auto" w:fill="auto"/>
            <w:noWrap/>
            <w:vAlign w:val="center"/>
          </w:tcPr>
          <w:p>
            <w:pPr>
              <w:jc w:val="center"/>
              <w:rPr>
                <w:rFonts w:cs="宋体"/>
                <w:b/>
                <w:bCs/>
                <w:kern w:val="0"/>
                <w:sz w:val="18"/>
                <w:szCs w:val="18"/>
              </w:rPr>
            </w:pPr>
            <w:bookmarkStart w:id="80" w:name="星级评价结论"/>
            <w:r>
              <w:t>二、三星级</w:t>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pPr>
              <w:pStyle w:val="13"/>
              <w:jc w:val="center"/>
              <w:rPr>
                <w:bCs/>
                <w:szCs w:val="18"/>
              </w:rPr>
            </w:pPr>
            <w:bookmarkStart w:id="81" w:name="控制项结论"/>
            <w:r>
              <w:t>满足</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pPr>
              <w:pStyle w:val="13"/>
              <w:rPr>
                <w:bCs/>
                <w:szCs w:val="18"/>
              </w:rPr>
            </w:pPr>
            <w:r>
              <w:rPr>
                <w:bCs/>
                <w:szCs w:val="18"/>
              </w:rPr>
              <w:t>5.2.1 控制室内主要空气污染物的浓度，评价总分值为12分，并按下列规定分别评分并累计：</w:t>
            </w:r>
          </w:p>
          <w:p>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pPr>
              <w:pStyle w:val="13"/>
              <w:jc w:val="center"/>
              <w:rPr>
                <w:bCs/>
                <w:szCs w:val="18"/>
              </w:rPr>
            </w:pPr>
            <w:bookmarkStart w:id="82" w:name="评分项结论"/>
            <w:r>
              <w:t>12</w:t>
            </w:r>
            <w:bookmarkEnd w:id="82"/>
            <w:r>
              <w:rPr>
                <w:rFonts w:hint="eastAsia"/>
                <w:bCs/>
                <w:szCs w:val="18"/>
              </w:rPr>
              <w:t>分</w:t>
            </w:r>
          </w:p>
        </w:tc>
      </w:tr>
    </w:tbl>
    <w:p>
      <w:pPr>
        <w:rPr>
          <w:lang w:val="zh-CN"/>
        </w:rPr>
      </w:pPr>
    </w:p>
    <w:p>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pPr>
        <w:pStyle w:val="2"/>
        <w:numPr>
          <w:ilvl w:val="0"/>
          <w:numId w:val="0"/>
        </w:numPr>
        <w:spacing w:before="312"/>
        <w:ind w:left="431" w:hanging="431"/>
        <w:rPr>
          <w:lang w:val="zh-CN"/>
        </w:rPr>
      </w:pPr>
      <w:bookmarkStart w:id="83" w:name="_Toc166924477"/>
      <w:bookmarkStart w:id="84" w:name="_Toc641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pPr>
        <w:widowControl/>
        <w:spacing w:line="300" w:lineRule="exact"/>
        <w:jc w:val="left"/>
        <w:rPr>
          <w:rFonts w:cstheme="majorBidi"/>
          <w:sz w:val="20"/>
          <w:szCs w:val="20"/>
        </w:rPr>
      </w:pPr>
      <w:bookmarkStart w:id="85" w:name="主要功能房间渗透风量表"/>
      <w:r>
        <w:t>本项目忽略渗透风量的影响。</w:t>
      </w:r>
      <w:bookmarkEnd w:id="85"/>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rPr>
          <w:lang w:val="zh-CN"/>
        </w:rPr>
      </w:pPr>
      <w:bookmarkStart w:id="86" w:name="_Toc166924478"/>
      <w:bookmarkStart w:id="87" w:name="_Toc131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vMerge w:val="restart"/>
            <w:shd w:val="clear" w:color="auto" w:fill="E6E6E6"/>
            <w:vAlign w:val="center"/>
          </w:tcPr>
          <w:p>
            <w:pPr>
              <w:jc w:val="center"/>
            </w:pPr>
            <w:r>
              <w:rPr>
                <w:b/>
              </w:rPr>
              <w:t>装修方案</w:t>
            </w:r>
          </w:p>
        </w:tc>
        <w:tc>
          <w:tcPr>
            <w:vMerge w:val="restart"/>
            <w:shd w:val="clear" w:color="auto" w:fill="E6E6E6"/>
            <w:vAlign w:val="center"/>
          </w:tcPr>
          <w:p>
            <w:pPr>
              <w:jc w:val="center"/>
            </w:pPr>
            <w:r>
              <w:rPr>
                <w:b/>
              </w:rPr>
              <w:t>材料名称</w:t>
            </w:r>
          </w:p>
        </w:tc>
        <w:tc>
          <w:tcPr>
            <w:vMerge w:val="restart"/>
            <w:shd w:val="clear" w:color="auto" w:fill="E6E6E6"/>
            <w:vAlign w:val="center"/>
          </w:tcPr>
          <w:p>
            <w:pPr>
              <w:jc w:val="center"/>
            </w:pPr>
            <w:r>
              <w:rPr>
                <w:b/>
              </w:rPr>
              <w:t>面积(m2)</w:t>
            </w:r>
          </w:p>
        </w:tc>
        <w:tc>
          <w:tcPr>
            <w:gridSpan w:val="6"/>
            <w:shd w:val="clear" w:color="auto" w:fill="E6E6E6"/>
            <w:vAlign w:val="center"/>
          </w:tcPr>
          <w:p>
            <w:pPr>
              <w:jc w:val="center"/>
            </w:pPr>
            <w:r>
              <w:rPr>
                <w:b/>
              </w:rPr>
              <w:t>计算结果</w:t>
            </w:r>
          </w:p>
        </w:tc>
        <w:tc>
          <w:tcPr>
            <w:shd w:val="clear" w:color="auto" w:fill="E6E6E6"/>
            <w:vAlign w:val="center"/>
          </w:tcPr>
          <w:p>
            <w:pPr>
              <w:jc w:val="center"/>
            </w:pPr>
            <w:r>
              <w:rPr>
                <w:b/>
              </w:rPr>
              <w:t>控制项</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gridSpan w:val="2"/>
            <w:shd w:val="clear" w:color="auto" w:fill="E6E6E6"/>
            <w:vAlign w:val="center"/>
          </w:tcPr>
          <w:p>
            <w:pPr>
              <w:jc w:val="center"/>
              <w:rPr>
                <w:b/>
              </w:rPr>
            </w:pPr>
            <w:r>
              <w:rPr>
                <w:b/>
              </w:rPr>
              <w:t>甲醛</w:t>
            </w:r>
          </w:p>
        </w:tc>
        <w:tc>
          <w:tcPr>
            <w:gridSpan w:val="2"/>
            <w:shd w:val="clear" w:color="auto" w:fill="E6E6E6"/>
            <w:vAlign w:val="center"/>
          </w:tcPr>
          <w:p>
            <w:pPr>
              <w:jc w:val="center"/>
              <w:rPr>
                <w:b/>
              </w:rPr>
            </w:pPr>
            <w:r>
              <w:rPr>
                <w:b/>
              </w:rPr>
              <w:t>苯</w:t>
            </w:r>
          </w:p>
        </w:tc>
        <w:tc>
          <w:tcPr>
            <w:gridSpan w:val="2"/>
            <w:shd w:val="clear" w:color="auto" w:fill="E6E6E6"/>
            <w:vAlign w:val="center"/>
          </w:tcPr>
          <w:p>
            <w:pPr>
              <w:jc w:val="center"/>
              <w:rPr>
                <w:b/>
              </w:rPr>
            </w:pPr>
            <w:r>
              <w:rPr>
                <w:b/>
              </w:rPr>
              <w:t>TVOC</w:t>
            </w:r>
          </w:p>
        </w:tc>
        <w:tc>
          <w:tcPr>
            <w:vMerge w:val="restart"/>
            <w:shd w:val="clear" w:color="auto" w:fill="E6E6E6"/>
            <w:vAlign w:val="center"/>
          </w:tcPr>
          <w:p>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1007</w:t>
            </w:r>
          </w:p>
        </w:tc>
        <w:tc>
          <w:tcPr>
            <w:vMerge w:val="restart"/>
            <w:vAlign w:val="center"/>
          </w:tcPr>
          <w:p>
            <w:pPr>
              <w:jc w:val="center"/>
            </w:pPr>
            <w:r>
              <w:t>男卫生间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1006</w:t>
            </w:r>
          </w:p>
        </w:tc>
        <w:tc>
          <w:tcPr>
            <w:vMerge w:val="restart"/>
            <w:vAlign w:val="center"/>
          </w:tcPr>
          <w:p>
            <w:pPr>
              <w:jc w:val="center"/>
            </w:pPr>
            <w:r>
              <w:t>女卫生间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1</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1001</w:t>
            </w:r>
          </w:p>
        </w:tc>
        <w:tc>
          <w:tcPr>
            <w:vMerge w:val="restart"/>
            <w:vAlign w:val="center"/>
          </w:tcPr>
          <w:p>
            <w:pPr>
              <w:jc w:val="center"/>
            </w:pPr>
            <w:r>
              <w:t>展览馆</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217</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138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79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bl>
    <w:p>
      <w:pPr>
        <w:spacing w:line="300" w:lineRule="exact"/>
        <w:rPr>
          <w:lang w:val="zh-CN"/>
        </w:rPr>
      </w:pPr>
      <w:bookmarkStart w:id="88" w:name="主要功能房间有机物浓度计算结果"/>
      <w:bookmarkEnd w:id="88"/>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89" w:name="_Toc19579"/>
      <w:bookmarkStart w:id="90"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0"/>
                <w:szCs w:val="20"/>
              </w:rPr>
            </w:pPr>
            <w:r>
              <w:rPr>
                <w:b/>
                <w:sz w:val="20"/>
                <w:szCs w:val="20"/>
              </w:rPr>
              <w:t>楼层</w:t>
            </w:r>
          </w:p>
        </w:tc>
        <w:tc>
          <w:tcPr>
            <w:vMerge w:val="restart"/>
            <w:shd w:val="clear" w:color="auto" w:fill="E6E6E6"/>
            <w:vAlign w:val="center"/>
          </w:tcPr>
          <w:p>
            <w:pPr>
              <w:jc w:val="center"/>
              <w:rPr>
                <w:sz w:val="20"/>
                <w:szCs w:val="20"/>
              </w:rPr>
            </w:pPr>
            <w:r>
              <w:rPr>
                <w:b/>
                <w:sz w:val="20"/>
                <w:szCs w:val="20"/>
              </w:rPr>
              <w:t>房间编号</w:t>
            </w:r>
          </w:p>
        </w:tc>
        <w:tc>
          <w:tcPr>
            <w:vMerge w:val="restart"/>
            <w:shd w:val="clear" w:color="auto" w:fill="E6E6E6"/>
            <w:vAlign w:val="center"/>
          </w:tcPr>
          <w:p>
            <w:pPr>
              <w:jc w:val="center"/>
              <w:rPr>
                <w:sz w:val="20"/>
                <w:szCs w:val="20"/>
              </w:rPr>
            </w:pPr>
            <w:r>
              <w:rPr>
                <w:b/>
                <w:sz w:val="20"/>
                <w:szCs w:val="20"/>
              </w:rPr>
              <w:t>房间名称</w:t>
            </w:r>
          </w:p>
        </w:tc>
        <w:tc>
          <w:tcPr>
            <w:gridSpan w:val="3"/>
            <w:shd w:val="clear" w:color="auto" w:fill="E6E6E6"/>
            <w:vAlign w:val="center"/>
          </w:tcPr>
          <w:p>
            <w:pPr>
              <w:jc w:val="center"/>
              <w:rPr>
                <w:sz w:val="20"/>
                <w:szCs w:val="20"/>
              </w:rPr>
            </w:pPr>
            <w:r>
              <w:rPr>
                <w:b/>
                <w:sz w:val="20"/>
                <w:szCs w:val="20"/>
              </w:rPr>
              <w:t>通风净化方案</w:t>
            </w:r>
          </w:p>
        </w:tc>
        <w:tc>
          <w:tcPr>
            <w:gridSpan w:val="6"/>
            <w:shd w:val="clear" w:color="auto" w:fill="E6E6E6"/>
            <w:vAlign w:val="center"/>
          </w:tcPr>
          <w:p>
            <w:pPr>
              <w:jc w:val="center"/>
              <w:rPr>
                <w:sz w:val="20"/>
                <w:szCs w:val="20"/>
              </w:rPr>
            </w:pPr>
            <w:r>
              <w:rPr>
                <w:b/>
                <w:sz w:val="20"/>
                <w:szCs w:val="20"/>
              </w:rPr>
              <w:t>通风净化参数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shd w:val="clear" w:color="auto" w:fill="E6E6E6"/>
            <w:vAlign w:val="center"/>
          </w:tcPr>
          <w:p>
            <w:pPr>
              <w:jc w:val="center"/>
              <w:rPr>
                <w:b/>
                <w:sz w:val="20"/>
                <w:szCs w:val="20"/>
              </w:rPr>
            </w:pPr>
            <w:r>
              <w:rPr>
                <w:b/>
                <w:sz w:val="18"/>
                <w:szCs w:val="18"/>
              </w:rPr>
              <w:t>开窗/关窗通风</w:t>
            </w:r>
          </w:p>
        </w:tc>
        <w:tc>
          <w:tcPr>
            <w:shd w:val="clear" w:color="auto" w:fill="E6E6E6"/>
            <w:vAlign w:val="center"/>
          </w:tcPr>
          <w:p>
            <w:pPr>
              <w:jc w:val="center"/>
              <w:rPr>
                <w:b/>
                <w:sz w:val="20"/>
                <w:szCs w:val="20"/>
              </w:rPr>
            </w:pPr>
            <w:r>
              <w:rPr>
                <w:b/>
                <w:sz w:val="18"/>
                <w:szCs w:val="18"/>
              </w:rPr>
              <w:t>新风设备</w:t>
            </w:r>
          </w:p>
        </w:tc>
        <w:tc>
          <w:tcPr>
            <w:shd w:val="clear" w:color="auto" w:fill="E6E6E6"/>
            <w:vAlign w:val="center"/>
          </w:tcPr>
          <w:p>
            <w:pPr>
              <w:jc w:val="center"/>
              <w:rPr>
                <w:b/>
                <w:sz w:val="20"/>
                <w:szCs w:val="20"/>
              </w:rPr>
            </w:pPr>
            <w:r>
              <w:rPr>
                <w:b/>
                <w:sz w:val="18"/>
                <w:szCs w:val="18"/>
              </w:rPr>
              <w:t>空气净化器</w:t>
            </w:r>
          </w:p>
        </w:tc>
        <w:tc>
          <w:tcPr>
            <w:shd w:val="clear" w:color="auto" w:fill="E6E6E6"/>
            <w:vAlign w:val="center"/>
          </w:tcPr>
          <w:p>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回风净化效率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1007</w:t>
            </w:r>
          </w:p>
        </w:tc>
        <w:tc>
          <w:tcPr>
            <w:vAlign w:val="center"/>
          </w:tcPr>
          <w:p>
            <w:pPr>
              <w:jc w:val="center"/>
              <w:rPr>
                <w:sz w:val="20"/>
                <w:szCs w:val="20"/>
              </w:rPr>
            </w:pPr>
            <w:r>
              <w:rPr>
                <w:sz w:val="20"/>
                <w:szCs w:val="20"/>
              </w:rPr>
              <w:t>男卫生间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67.78</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271.13</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1006</w:t>
            </w:r>
          </w:p>
        </w:tc>
        <w:tc>
          <w:tcPr>
            <w:vAlign w:val="center"/>
          </w:tcPr>
          <w:p>
            <w:pPr>
              <w:jc w:val="center"/>
              <w:rPr>
                <w:sz w:val="20"/>
                <w:szCs w:val="20"/>
              </w:rPr>
            </w:pPr>
            <w:r>
              <w:rPr>
                <w:sz w:val="20"/>
                <w:szCs w:val="20"/>
              </w:rPr>
              <w:t>女卫生间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76.10</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304.41</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1001</w:t>
            </w:r>
          </w:p>
        </w:tc>
        <w:tc>
          <w:tcPr>
            <w:vAlign w:val="center"/>
          </w:tcPr>
          <w:p>
            <w:pPr>
              <w:jc w:val="center"/>
              <w:rPr>
                <w:sz w:val="20"/>
                <w:szCs w:val="20"/>
              </w:rPr>
            </w:pPr>
            <w:r>
              <w:rPr>
                <w:sz w:val="20"/>
                <w:szCs w:val="20"/>
              </w:rPr>
              <w:t>展览馆</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4732.58</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18930.30</w:t>
            </w:r>
          </w:p>
        </w:tc>
        <w:tc>
          <w:tcPr>
            <w:vAlign w:val="center"/>
          </w:tcPr>
          <w:p>
            <w:pPr>
              <w:jc w:val="center"/>
              <w:rPr>
                <w:sz w:val="20"/>
                <w:szCs w:val="20"/>
              </w:rPr>
            </w:pPr>
            <w:r>
              <w:rPr>
                <w:sz w:val="20"/>
                <w:szCs w:val="20"/>
              </w:rPr>
              <w:t>0.90</w:t>
            </w:r>
          </w:p>
        </w:tc>
      </w:tr>
    </w:tbl>
    <w:p>
      <w:pPr>
        <w:spacing w:line="300" w:lineRule="exact"/>
        <w:rPr>
          <w:rFonts w:cs="Times New Roman"/>
          <w:b/>
          <w:bCs/>
          <w:sz w:val="20"/>
          <w:szCs w:val="20"/>
        </w:rPr>
      </w:pPr>
      <w:bookmarkStart w:id="91" w:name="主要功能房间通风净化方案及对应参数"/>
      <w:bookmarkEnd w:id="91"/>
    </w:p>
    <w:p>
      <w:pPr>
        <w:widowControl/>
        <w:jc w:val="left"/>
        <w:rPr>
          <w:rFonts w:eastAsia="黑体" w:asciiTheme="majorHAnsi" w:hAnsiTheme="majorHAnsi" w:cstheme="majorBidi"/>
          <w:sz w:val="20"/>
          <w:szCs w:val="20"/>
        </w:rPr>
      </w:pPr>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92" w:name="_Toc166924480"/>
      <w:bookmarkStart w:id="93" w:name="_Toc1661"/>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gridSpan w:val="3"/>
            <w:shd w:val="clear" w:color="auto" w:fill="E6E6E6"/>
            <w:vAlign w:val="center"/>
          </w:tcPr>
          <w:p>
            <w:pPr>
              <w:jc w:val="center"/>
            </w:pPr>
            <w:r>
              <w:rPr>
                <w:b/>
              </w:rPr>
              <w:t>PM2.5</w:t>
            </w:r>
          </w:p>
        </w:tc>
        <w:tc>
          <w:tcPr>
            <w:gridSpan w:val="3"/>
            <w:shd w:val="clear" w:color="auto" w:fill="E6E6E6"/>
            <w:vAlign w:val="center"/>
          </w:tcPr>
          <w:p>
            <w:pPr>
              <w:jc w:val="center"/>
            </w:pPr>
            <w:r>
              <w:rPr>
                <w:b/>
              </w:rPr>
              <w:t>PM10</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年均值：PM2.5≤25 &amp; PM10≤50(6分)</w:t>
            </w:r>
          </w:p>
        </w:tc>
        <w:tc>
          <w:tcPr>
            <w:shd w:val="clear" w:color="auto" w:fill="E6E6E6"/>
            <w:vAlign w:val="center"/>
          </w:tcPr>
          <w:p>
            <w:pPr>
              <w:jc w:val="center"/>
              <w:rPr>
                <w:b/>
              </w:rPr>
            </w:pPr>
            <w:r>
              <w:rPr>
                <w:b/>
              </w:rPr>
              <w:t>PM2.5 &amp; PM10 日均值</w:t>
            </w:r>
            <w:r>
              <w:rPr>
                <w:b/>
              </w:rPr>
              <w:br w:type="textWrapping"/>
            </w:r>
            <w:r>
              <w:rPr>
                <w:b/>
              </w:rPr>
              <w:t>降10% (一星级)</w:t>
            </w:r>
            <w:r>
              <w:rPr>
                <w:b/>
              </w:rPr>
              <w:br w:type="textWrapping"/>
            </w:r>
            <w:r>
              <w:rPr>
                <w:b/>
              </w:rPr>
              <w:t>降20% (二、三星级)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1007</w:t>
            </w:r>
          </w:p>
        </w:tc>
        <w:tc>
          <w:tcPr>
            <w:vAlign w:val="center"/>
          </w:tcPr>
          <w:p>
            <w:pPr>
              <w:jc w:val="center"/>
            </w:pPr>
            <w:r>
              <w:t>男卫生间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1006</w:t>
            </w:r>
          </w:p>
        </w:tc>
        <w:tc>
          <w:tcPr>
            <w:vAlign w:val="center"/>
          </w:tcPr>
          <w:p>
            <w:pPr>
              <w:jc w:val="center"/>
            </w:pPr>
            <w:r>
              <w:t>女卫生间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1001</w:t>
            </w:r>
          </w:p>
        </w:tc>
        <w:tc>
          <w:tcPr>
            <w:vAlign w:val="center"/>
          </w:tcPr>
          <w:p>
            <w:pPr>
              <w:jc w:val="center"/>
            </w:pPr>
            <w:r>
              <w:t>展览馆</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bl>
    <w:p>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pStyle w:val="16"/>
                    <w:jc w:val="both"/>
                    <w:rPr>
                      <w:sz w:val="16"/>
                    </w:rPr>
                  </w:pPr>
                </w:p>
              </w:tc>
              <w:tc>
                <w:tcPr>
                  <w:tcW w:w="2788"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pPr>
                    <w:pStyle w:val="16"/>
                    <w:jc w:val="right"/>
                    <w:rPr>
                      <w:sz w:val="16"/>
                    </w:rPr>
                  </w:pPr>
                </w:p>
              </w:tc>
            </w:tr>
          </w:tbl>
          <w:p>
            <w:pPr>
              <w:pStyle w:val="16"/>
              <w:ind w:left="-424" w:leftChars="-202"/>
            </w:pPr>
          </w:p>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pPr>
                    <w:pStyle w:val="16"/>
                    <w:jc w:val="both"/>
                    <w:rPr>
                      <w:sz w:val="16"/>
                    </w:rPr>
                  </w:pPr>
                </w:p>
              </w:tc>
              <w:tc>
                <w:tcPr>
                  <w:tcW w:w="2770"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pPr>
                    <w:pStyle w:val="16"/>
                    <w:jc w:val="both"/>
                    <w:rPr>
                      <w:sz w:val="16"/>
                    </w:rPr>
                  </w:pPr>
                </w:p>
              </w:tc>
              <w:tc>
                <w:tcPr>
                  <w:tcW w:w="4656"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pPr>
        <w:pStyle w:val="19"/>
      </w:pPr>
      <w:r>
        <w:rPr>
          <w:rStyle w:val="30"/>
        </w:rPr>
        <w:footnoteRef/>
      </w:r>
      <w:r>
        <w:t xml:space="preserve"> </w:t>
      </w:r>
      <w:r>
        <w:rPr>
          <w:rFonts w:hint="eastAsia"/>
        </w:rPr>
        <w:t>本项目所有主要功能房间的装修方案参见附录2</w:t>
      </w:r>
      <w:r>
        <w:t>.</w:t>
      </w:r>
    </w:p>
  </w:footnote>
  <w:footnote w:id="2">
    <w:p>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pPr>
        <w:pStyle w:val="19"/>
      </w:pPr>
      <w:r>
        <w:rPr>
          <w:rStyle w:val="30"/>
        </w:rPr>
        <w:footnoteRef/>
      </w:r>
      <w:r>
        <w:rPr>
          <w:rFonts w:hint="eastAsia"/>
        </w:rPr>
        <w:t xml:space="preserve"> 数值来源：《公共建筑室内空气质量控制设计标准》表3.4.1</w:t>
      </w:r>
    </w:p>
  </w:footnote>
  <w:footnote w:id="4">
    <w:p>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8E77B1"/>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E8E77B1"/>
    <w:rsid w:val="3A0A38D9"/>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D\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tmp32.dotx</Template>
  <Pages>16</Pages>
  <Words>4074</Words>
  <Characters>5346</Characters>
  <Lines>43</Lines>
  <Paragraphs>12</Paragraphs>
  <TotalTime>0</TotalTime>
  <ScaleCrop>false</ScaleCrop>
  <LinksUpToDate>false</LinksUpToDate>
  <CharactersWithSpaces>5548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2025-12-13T13:59:00Z</dcterms:created>
  <dc:creator>涟辰</dc:creator>
  <cp:lastModifiedBy>涟辰</cp:lastModifiedBy>
  <dcterms:modified xsi:type="dcterms:W3CDTF">2025-12-30T13:09:57Z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82FAC0B2A8024AB19BBA5C5B3A6CD798_12</vt:lpwstr>
  </property>
</Properties>
</file>