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pPr>
      <w:r>
        <w:rPr>
          <w:rFonts w:hint="eastAsia" w:ascii="黑体" w:hAnsi="黑体" w:eastAsia="黑体" w:cs="黑体"/>
          <w:b/>
          <w:bCs w:val="0"/>
          <w:i w:val="0"/>
          <w:color w:val="305496"/>
          <w:kern w:val="0"/>
          <w:sz w:val="44"/>
          <w:szCs w:val="44"/>
          <w:u w:val="none"/>
          <w:lang w:val="en-US" w:eastAsia="zh-CN" w:bidi="ar"/>
        </w:rPr>
        <w:t>评价汇总</w:t>
      </w:r>
      <w:r>
        <w:drawing>
          <wp:inline distT="0" distB="0" distL="114300" distR="114300">
            <wp:extent cx="11856085" cy="454469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5084" r="5443" b="6200"/>
                    <a:stretch>
                      <a:fillRect/>
                    </a:stretch>
                  </pic:blipFill>
                  <pic:spPr>
                    <a:xfrm>
                      <a:off x="0" y="0"/>
                      <a:ext cx="11856085" cy="4544695"/>
                    </a:xfrm>
                    <a:prstGeom prst="rect">
                      <a:avLst/>
                    </a:prstGeom>
                    <a:noFill/>
                    <a:ln>
                      <a:noFill/>
                    </a:ln>
                  </pic:spPr>
                </pic:pic>
              </a:graphicData>
            </a:graphic>
          </wp:inline>
        </w:drawing>
      </w:r>
      <w:r>
        <w:drawing>
          <wp:inline distT="0" distB="0" distL="114300" distR="114300">
            <wp:extent cx="11428730" cy="3493135"/>
            <wp:effectExtent l="0" t="0" r="127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428730" cy="3493135"/>
                    </a:xfrm>
                    <a:prstGeom prst="rect">
                      <a:avLst/>
                    </a:prstGeom>
                    <a:noFill/>
                    <a:ln>
                      <a:noFill/>
                    </a:ln>
                  </pic:spPr>
                </pic:pic>
              </a:graphicData>
            </a:graphic>
          </wp:inline>
        </w:drawing>
      </w:r>
    </w:p>
    <w:p>
      <w:pPr>
        <w:keepNext w:val="0"/>
        <w:keepLines w:val="0"/>
        <w:widowControl/>
        <w:suppressLineNumbers w:val="0"/>
        <w:jc w:val="center"/>
        <w:textAlignment w:val="center"/>
      </w:pPr>
    </w:p>
    <w:p>
      <w:pPr>
        <w:keepNext w:val="0"/>
        <w:keepLines w:val="0"/>
        <w:widowControl/>
        <w:suppressLineNumbers w:val="0"/>
        <w:jc w:val="center"/>
        <w:textAlignment w:val="center"/>
      </w:pPr>
    </w:p>
    <w:p>
      <w:pPr>
        <w:keepNext w:val="0"/>
        <w:keepLines w:val="0"/>
        <w:widowControl/>
        <w:suppressLineNumbers w:val="0"/>
        <w:jc w:val="center"/>
        <w:textAlignment w:val="center"/>
      </w:pPr>
      <w:r>
        <w:drawing>
          <wp:inline distT="0" distB="0" distL="114300" distR="114300">
            <wp:extent cx="12195810" cy="2859405"/>
            <wp:effectExtent l="0" t="0" r="889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2195810" cy="2859405"/>
                    </a:xfrm>
                    <a:prstGeom prst="rect">
                      <a:avLst/>
                    </a:prstGeom>
                    <a:noFill/>
                    <a:ln>
                      <a:noFill/>
                    </a:ln>
                  </pic:spPr>
                </pic:pic>
              </a:graphicData>
            </a:graphic>
          </wp:inline>
        </w:drawing>
      </w:r>
    </w:p>
    <w:p>
      <w:pPr>
        <w:keepNext w:val="0"/>
        <w:keepLines w:val="0"/>
        <w:widowControl/>
        <w:suppressLineNumbers w:val="0"/>
        <w:jc w:val="center"/>
        <w:textAlignment w:val="center"/>
      </w:pPr>
    </w:p>
    <w:p>
      <w:pPr>
        <w:keepNext w:val="0"/>
        <w:keepLines w:val="0"/>
        <w:widowControl/>
        <w:suppressLineNumbers w:val="0"/>
        <w:jc w:val="center"/>
        <w:textAlignment w:val="center"/>
      </w:pPr>
      <w:r>
        <w:drawing>
          <wp:inline distT="0" distB="0" distL="114300" distR="114300">
            <wp:extent cx="12263120" cy="349250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l="5377" t="14829" r="14013"/>
                    <a:stretch>
                      <a:fillRect/>
                    </a:stretch>
                  </pic:blipFill>
                  <pic:spPr>
                    <a:xfrm>
                      <a:off x="0" y="0"/>
                      <a:ext cx="12263120" cy="3492500"/>
                    </a:xfrm>
                    <a:prstGeom prst="rect">
                      <a:avLst/>
                    </a:prstGeom>
                    <a:noFill/>
                    <a:ln>
                      <a:noFill/>
                    </a:ln>
                  </pic:spPr>
                </pic:pic>
              </a:graphicData>
            </a:graphic>
          </wp:inline>
        </w:drawing>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sectPr>
          <w:pgSz w:w="23757" w:h="16783" w:orient="landscape"/>
          <w:pgMar w:top="1440" w:right="1440" w:bottom="1440" w:left="1440" w:header="851" w:footer="992" w:gutter="0"/>
          <w:cols w:space="425" w:num="1"/>
          <w:docGrid w:type="lines" w:linePitch="312" w:charSpace="0"/>
        </w:sectPr>
      </w:pP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4安全耐久</w:t>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tbl>
      <w:tblPr>
        <w:tblStyle w:val="2"/>
        <w:tblW w:w="4999" w:type="pct"/>
        <w:tblInd w:w="0" w:type="dxa"/>
        <w:shd w:val="clear" w:color="auto" w:fill="auto"/>
        <w:tblLayout w:type="autofit"/>
        <w:tblCellMar>
          <w:top w:w="0" w:type="dxa"/>
          <w:left w:w="0" w:type="dxa"/>
          <w:bottom w:w="0" w:type="dxa"/>
          <w:right w:w="0" w:type="dxa"/>
        </w:tblCellMar>
      </w:tblPr>
      <w:tblGrid>
        <w:gridCol w:w="2323"/>
        <w:gridCol w:w="1576"/>
        <w:gridCol w:w="13466"/>
        <w:gridCol w:w="1605"/>
        <w:gridCol w:w="1923"/>
      </w:tblGrid>
      <w:tr>
        <w:tblPrEx>
          <w:tblCellMar>
            <w:top w:w="0" w:type="dxa"/>
            <w:left w:w="0" w:type="dxa"/>
            <w:bottom w:w="0" w:type="dxa"/>
            <w:right w:w="0" w:type="dxa"/>
          </w:tblCellMar>
        </w:tblPrEx>
        <w:trPr>
          <w:trHeight w:val="315" w:hRule="atLeast"/>
        </w:trPr>
        <w:tc>
          <w:tcPr>
            <w:tcW w:w="55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77"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220"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8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60"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shd w:val="clear" w:color="auto" w:fill="auto"/>
          <w:tblCellMar>
            <w:top w:w="0" w:type="dxa"/>
            <w:left w:w="0" w:type="dxa"/>
            <w:bottom w:w="0" w:type="dxa"/>
            <w:right w:w="0" w:type="dxa"/>
          </w:tblCellMar>
        </w:tblPrEx>
        <w:trPr>
          <w:trHeight w:val="615"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4.1.1</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场地应避开滑坡、泥石流等地质危险地段，易发生洪涝区有可靠的防涝基础设施；场地应无危险化学品、易燃易爆源的威胁，无电磁辐射、含氡土壤的危害。</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6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4.1.2</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建筑结构应满足承载力和建筑使用功能要求。建筑外墙、屋面门窗幕墙及外保温等围护结构应满足安全、耐久和防护的要求。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6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外遮阳、太阳能设施、空调室外机位、外墙花池等部外部设施应与建筑主体结构统一设计、施工，并应具备安装、检修与维护条件。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建筑内部的非结构件、设备及附属设施等应连接牢固并能适应主体结构变形。</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建筑外门窗必须安装牢靠，其抗风压性能和水密性能应符合国家现行有关标准的规定</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卫生间、浴室的地面应设置防水层，墙面、顶棚应设置防潮层。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走廊、疏散通道等通行空间应满足紧急疏散、应急救护等要求，且应保持畅通。</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应具有安全防护的警示和引导标识系统。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556" w:type="pct"/>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4.1.9</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安全性规范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15"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安全</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采用基于性能的抗震设计并合理提高建筑的抗震性能。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4.2.2</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采取保障人员安全的防护措施。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 </w:t>
            </w:r>
          </w:p>
        </w:tc>
      </w:tr>
      <w:tr>
        <w:tblPrEx>
          <w:shd w:val="clear" w:color="auto" w:fill="auto"/>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4.2.3</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采用具有安全防护功能的产品或配件。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4.2.4</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室内外地面或路设置防滑措施。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采取人车分流措施，且步行和自交通系统有充足照明。</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耐久</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采取提升建筑适变性的措施。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 </w:t>
            </w:r>
          </w:p>
        </w:tc>
      </w:tr>
      <w:tr>
        <w:tblPrEx>
          <w:shd w:val="clear" w:color="auto" w:fill="auto"/>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4.2.7</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采取提升建筑部品部件耐久性的措施。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提高建筑结构材料的耐久性。</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w:t>
            </w:r>
          </w:p>
        </w:tc>
        <w:tc>
          <w:tcPr>
            <w:tcW w:w="32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合理采用耐久性好、易维护的装饰修建筑材料。</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r>
      <w:tr>
        <w:tblPrEx>
          <w:tblCellMar>
            <w:top w:w="0" w:type="dxa"/>
            <w:left w:w="0" w:type="dxa"/>
            <w:bottom w:w="0" w:type="dxa"/>
            <w:right w:w="0" w:type="dxa"/>
          </w:tblCellMar>
        </w:tblPrEx>
        <w:trPr>
          <w:trHeight w:val="315" w:hRule="atLeast"/>
        </w:trPr>
        <w:tc>
          <w:tcPr>
            <w:tcW w:w="4155"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97.0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sectPr>
          <w:pgSz w:w="23757" w:h="16783" w:orient="landscape"/>
          <w:pgMar w:top="1440" w:right="1440" w:bottom="1440" w:left="1440" w:header="851" w:footer="992" w:gutter="0"/>
          <w:cols w:space="425" w:num="1"/>
          <w:docGrid w:type="lines" w:linePitch="312" w:charSpace="0"/>
        </w:sectPr>
      </w:pPr>
      <w:bookmarkStart w:id="0" w:name="_GoBack"/>
      <w:bookmarkEnd w:id="0"/>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5健康舒适</w:t>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tbl>
      <w:tblPr>
        <w:tblStyle w:val="2"/>
        <w:tblW w:w="4999" w:type="pct"/>
        <w:tblInd w:w="0" w:type="dxa"/>
        <w:shd w:val="clear" w:color="auto" w:fill="auto"/>
        <w:tblLayout w:type="autofit"/>
        <w:tblCellMar>
          <w:top w:w="0" w:type="dxa"/>
          <w:left w:w="0" w:type="dxa"/>
          <w:bottom w:w="0" w:type="dxa"/>
          <w:right w:w="0" w:type="dxa"/>
        </w:tblCellMar>
      </w:tblPr>
      <w:tblGrid>
        <w:gridCol w:w="2871"/>
        <w:gridCol w:w="1525"/>
        <w:gridCol w:w="13027"/>
        <w:gridCol w:w="1605"/>
        <w:gridCol w:w="1865"/>
      </w:tblGrid>
      <w:tr>
        <w:tblPrEx>
          <w:shd w:val="clear" w:color="auto" w:fill="auto"/>
          <w:tblCellMar>
            <w:top w:w="0" w:type="dxa"/>
            <w:left w:w="0" w:type="dxa"/>
            <w:bottom w:w="0" w:type="dxa"/>
            <w:right w:w="0" w:type="dxa"/>
          </w:tblCellMar>
        </w:tblPrEx>
        <w:trPr>
          <w:trHeight w:val="315" w:hRule="atLeast"/>
        </w:trPr>
        <w:tc>
          <w:tcPr>
            <w:tcW w:w="687"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65"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11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8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4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shd w:val="clear" w:color="auto" w:fill="auto"/>
          <w:tblCellMar>
            <w:top w:w="0" w:type="dxa"/>
            <w:left w:w="0" w:type="dxa"/>
            <w:bottom w:w="0" w:type="dxa"/>
            <w:right w:w="0" w:type="dxa"/>
          </w:tblCellMar>
        </w:tblPrEx>
        <w:trPr>
          <w:trHeight w:val="870"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控制项</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lang w:val="en-US" w:eastAsia="zh-CN" w:bidi="ar"/>
              </w:rPr>
              <w:t>室内空气中的氨、甲醛、苯、总挥发性有机物、氡等污染物浓度应符合现行国家标准《室内空气质量标准》</w:t>
            </w:r>
            <w:r>
              <w:rPr>
                <w:rStyle w:val="5"/>
                <w:rFonts w:eastAsia="宋体"/>
                <w:lang w:val="en-US" w:eastAsia="zh-CN" w:bidi="ar"/>
              </w:rPr>
              <w:t>GB/T 18883</w:t>
            </w:r>
            <w:r>
              <w:rPr>
                <w:rStyle w:val="4"/>
                <w:lang w:val="en-US" w:eastAsia="zh-CN" w:bidi="ar"/>
              </w:rPr>
              <w:t>的有关规定。建筑室内和建筑主出入口处应禁止吸烟，并应在醒目位置设置禁烟标志。</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58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应采取措施避免厨房、餐厅、打印复印室、卫生间、地下车库等区域的空气和污染物串通到其他空间；应防止厨房、卫生间的排气倒灌。</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129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lang w:val="en-US" w:eastAsia="zh-CN" w:bidi="ar"/>
              </w:rPr>
              <w:t>给排水系统的设置应符合下列规定：</w:t>
            </w:r>
            <w:r>
              <w:rPr>
                <w:rStyle w:val="5"/>
                <w:rFonts w:eastAsia="宋体"/>
                <w:lang w:val="en-US" w:eastAsia="zh-CN" w:bidi="ar"/>
              </w:rPr>
              <w:t>1</w:t>
            </w:r>
            <w:r>
              <w:rPr>
                <w:rStyle w:val="4"/>
                <w:lang w:val="en-US" w:eastAsia="zh-CN" w:bidi="ar"/>
              </w:rPr>
              <w:t>生活饮用水水质应满足现行国家标准《生活饮用水卫生标准》</w:t>
            </w:r>
            <w:r>
              <w:rPr>
                <w:rStyle w:val="5"/>
                <w:rFonts w:eastAsia="宋体"/>
                <w:lang w:val="en-US" w:eastAsia="zh-CN" w:bidi="ar"/>
              </w:rPr>
              <w:t>GB5749</w:t>
            </w:r>
            <w:r>
              <w:rPr>
                <w:rStyle w:val="4"/>
                <w:lang w:val="en-US" w:eastAsia="zh-CN" w:bidi="ar"/>
              </w:rPr>
              <w:t>的要求；</w:t>
            </w:r>
            <w:r>
              <w:rPr>
                <w:rStyle w:val="5"/>
                <w:rFonts w:eastAsia="宋体"/>
                <w:lang w:val="en-US" w:eastAsia="zh-CN" w:bidi="ar"/>
              </w:rPr>
              <w:t>2</w:t>
            </w:r>
            <w:r>
              <w:rPr>
                <w:rStyle w:val="4"/>
                <w:lang w:val="en-US" w:eastAsia="zh-CN" w:bidi="ar"/>
              </w:rPr>
              <w:t>应制定水池、水箱等储水设施定期清洗消毒计划并实施，且生活饮用水储水设施每半年清洗消毒应不少于</w:t>
            </w:r>
            <w:r>
              <w:rPr>
                <w:rStyle w:val="5"/>
                <w:rFonts w:eastAsia="宋体"/>
                <w:lang w:val="en-US" w:eastAsia="zh-CN" w:bidi="ar"/>
              </w:rPr>
              <w:t>1</w:t>
            </w:r>
            <w:r>
              <w:rPr>
                <w:rStyle w:val="4"/>
                <w:lang w:val="en-US" w:eastAsia="zh-CN" w:bidi="ar"/>
              </w:rPr>
              <w:t>次；</w:t>
            </w:r>
            <w:r>
              <w:rPr>
                <w:rStyle w:val="5"/>
                <w:rFonts w:eastAsia="宋体"/>
                <w:lang w:val="en-US" w:eastAsia="zh-CN" w:bidi="ar"/>
              </w:rPr>
              <w:t>3</w:t>
            </w:r>
            <w:r>
              <w:rPr>
                <w:rStyle w:val="4"/>
                <w:lang w:val="en-US" w:eastAsia="zh-CN" w:bidi="ar"/>
              </w:rPr>
              <w:t>应使用构造内自带水封的便器，且其水封深度应不小于</w:t>
            </w:r>
            <w:r>
              <w:rPr>
                <w:rStyle w:val="5"/>
                <w:rFonts w:eastAsia="宋体"/>
                <w:lang w:val="en-US" w:eastAsia="zh-CN" w:bidi="ar"/>
              </w:rPr>
              <w:t>50mm</w:t>
            </w:r>
            <w:r>
              <w:rPr>
                <w:rStyle w:val="4"/>
                <w:lang w:val="en-US" w:eastAsia="zh-CN" w:bidi="ar"/>
              </w:rPr>
              <w:t>；</w:t>
            </w:r>
            <w:r>
              <w:rPr>
                <w:rStyle w:val="5"/>
                <w:rFonts w:eastAsia="宋体"/>
                <w:lang w:val="en-US" w:eastAsia="zh-CN" w:bidi="ar"/>
              </w:rPr>
              <w:t>4</w:t>
            </w:r>
            <w:r>
              <w:rPr>
                <w:rStyle w:val="4"/>
                <w:lang w:val="en-US" w:eastAsia="zh-CN" w:bidi="ar"/>
              </w:rPr>
              <w:t>非传统水源管道和设备应设置明确、清晰的永久性标识。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82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声环境设计应符合下列规定：1场地规划布局和建筑平面设计时应合理规划噪声源区域和噪声敏感区域，并进行识别和标注；2外墙、隔墙、楼板和门窗等主要建筑构件的隔声性能指标不应低于现行国家标准《民用建筑隔声设计规范》GB 50118 的规定，并应根据隔声性能指标明确主要建筑构件的构造做法。</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112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建筑照明应符合下列规定：1各场所的照度、照度均匀度、显色指数、统一眩光值应符合现行国家标准《建筑照明设计标准》GB 50034 的规定；2人员长期停留的房间或场所采用的照明光源和灯具，其频闪效应可视度（SVM）不应大于1.3。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100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lang w:val="en-US" w:eastAsia="zh-CN" w:bidi="ar"/>
              </w:rPr>
              <w:t>应采取措施保障室内热环境。采用集中供暖空调系统的建筑，房间内的温度、湿度、新风量等设计参数应符合现行国家标准《民用建筑供暖通风与空气调节设计规范》</w:t>
            </w:r>
            <w:r>
              <w:rPr>
                <w:rStyle w:val="5"/>
                <w:rFonts w:eastAsia="宋体"/>
                <w:lang w:val="en-US" w:eastAsia="zh-CN" w:bidi="ar"/>
              </w:rPr>
              <w:t>GB50736</w:t>
            </w:r>
            <w:r>
              <w:rPr>
                <w:rStyle w:val="4"/>
                <w:lang w:val="en-US" w:eastAsia="zh-CN" w:bidi="ar"/>
              </w:rPr>
              <w:t>的有关规定；采用非集中供暖空调系统的建筑，应具有保障室内热的措施或预留条件。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88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围护结构热工性能应符合下列规定：1在室内设计温度、湿度条件下，建筑非透光围护结构内表面不得结露；2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 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主要功能房间应具有现场独立控制的热环境调节装置。</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地下车库应设置与排风设备联动的一氧化碳浓度监测装置。</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5.1.10</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安全性规范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1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室内空气品质</w:t>
            </w: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控制室内主要空气污染物的浓度。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选用的装饰装修材料满足国家现行绿色产品评价标准中对有害物质限量的要求。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shd w:val="clear" w:color="auto" w:fill="auto"/>
          <w:tblCellMar>
            <w:top w:w="0" w:type="dxa"/>
            <w:left w:w="0" w:type="dxa"/>
            <w:bottom w:w="0" w:type="dxa"/>
            <w:right w:w="0" w:type="dxa"/>
          </w:tblCellMar>
        </w:tblPrEx>
        <w:trPr>
          <w:trHeight w:val="510" w:hRule="atLeast"/>
        </w:trPr>
        <w:tc>
          <w:tcPr>
            <w:tcW w:w="687" w:type="pct"/>
            <w:vMerge w:val="restart"/>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水质</w:t>
            </w: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直饮水、集中生活热水、游泳池水、采暖空调系统用水、景观水体等的水质满足国家现行有关标准的要求。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生活饮用水水池、水箱等储水设施采取措施满足卫生要求。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所有给排水管道、设备、设施设置明确、清晰的永久性标识。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声环境与光环境</w:t>
            </w: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采取措施优化主要功能房间的室内声环境。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主要功能房间的隔声性能良好。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5.2.8</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充分利用天然光。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r>
      <w:tr>
        <w:tblPrEx>
          <w:tblCellMar>
            <w:top w:w="0" w:type="dxa"/>
            <w:left w:w="0" w:type="dxa"/>
            <w:bottom w:w="0" w:type="dxa"/>
            <w:right w:w="0" w:type="dxa"/>
          </w:tblCellMar>
        </w:tblPrEx>
        <w:trPr>
          <w:trHeight w:val="31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室内湿热环境</w:t>
            </w: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5.2.9</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具有良好的室内热湿环境。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5.2.10</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优化建筑空间和平面布局，改善自然通风效果。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设置可调节遮阳设施，改善室内热舒适。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 </w:t>
            </w:r>
          </w:p>
        </w:tc>
      </w:tr>
      <w:tr>
        <w:tblPrEx>
          <w:shd w:val="clear" w:color="auto" w:fill="auto"/>
          <w:tblCellMar>
            <w:top w:w="0" w:type="dxa"/>
            <w:left w:w="0" w:type="dxa"/>
            <w:bottom w:w="0" w:type="dxa"/>
            <w:right w:w="0" w:type="dxa"/>
          </w:tblCellMar>
        </w:tblPrEx>
        <w:trPr>
          <w:trHeight w:val="315" w:hRule="atLeast"/>
        </w:trPr>
        <w:tc>
          <w:tcPr>
            <w:tcW w:w="41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sectPr>
          <w:pgSz w:w="23757" w:h="16783" w:orient="landscape"/>
          <w:pgMar w:top="1800" w:right="1440" w:bottom="1134" w:left="1440" w:header="851" w:footer="992" w:gutter="0"/>
          <w:cols w:space="425" w:num="1"/>
          <w:docGrid w:type="lines" w:linePitch="312" w:charSpace="0"/>
        </w:sectPr>
      </w:pP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6生活便利</w:t>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tbl>
      <w:tblPr>
        <w:tblStyle w:val="2"/>
        <w:tblW w:w="4999" w:type="pct"/>
        <w:tblInd w:w="0" w:type="dxa"/>
        <w:shd w:val="clear" w:color="auto" w:fill="auto"/>
        <w:tblLayout w:type="autofit"/>
        <w:tblCellMar>
          <w:top w:w="0" w:type="dxa"/>
          <w:left w:w="0" w:type="dxa"/>
          <w:bottom w:w="0" w:type="dxa"/>
          <w:right w:w="0" w:type="dxa"/>
        </w:tblCellMar>
      </w:tblPr>
      <w:tblGrid>
        <w:gridCol w:w="2871"/>
        <w:gridCol w:w="1525"/>
        <w:gridCol w:w="13027"/>
        <w:gridCol w:w="1605"/>
        <w:gridCol w:w="1865"/>
      </w:tblGrid>
      <w:tr>
        <w:tblPrEx>
          <w:tblCellMar>
            <w:top w:w="0" w:type="dxa"/>
            <w:left w:w="0" w:type="dxa"/>
            <w:bottom w:w="0" w:type="dxa"/>
            <w:right w:w="0" w:type="dxa"/>
          </w:tblCellMar>
        </w:tblPrEx>
        <w:trPr>
          <w:trHeight w:val="315" w:hRule="atLeast"/>
        </w:trPr>
        <w:tc>
          <w:tcPr>
            <w:tcW w:w="687"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65"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11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8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4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shd w:val="clear" w:color="auto" w:fill="auto"/>
          <w:tblCellMar>
            <w:top w:w="0" w:type="dxa"/>
            <w:left w:w="0" w:type="dxa"/>
            <w:bottom w:w="0" w:type="dxa"/>
            <w:right w:w="0" w:type="dxa"/>
          </w:tblCellMar>
        </w:tblPrEx>
        <w:trPr>
          <w:trHeight w:val="43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控制项</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建筑、室外场地、公共绿地、城市道路相互之间应设置连贯的无障碍步行系统。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6"/>
                <w:lang w:val="en-US" w:eastAsia="zh-CN" w:bidi="ar"/>
              </w:rPr>
              <w:t>场地人行出入口</w:t>
            </w:r>
            <w:r>
              <w:rPr>
                <w:rFonts w:hint="default" w:ascii="Times New Roman" w:hAnsi="Times New Roman" w:eastAsia="宋体" w:cs="Times New Roman"/>
                <w:i w:val="0"/>
                <w:color w:val="000000"/>
                <w:kern w:val="0"/>
                <w:sz w:val="20"/>
                <w:szCs w:val="20"/>
                <w:u w:val="none"/>
                <w:lang w:val="en-US" w:eastAsia="zh-CN" w:bidi="ar"/>
              </w:rPr>
              <w:t>500m</w:t>
            </w:r>
            <w:r>
              <w:rPr>
                <w:rStyle w:val="6"/>
                <w:lang w:val="en-US" w:eastAsia="zh-CN" w:bidi="ar"/>
              </w:rPr>
              <w:t>内应设有公共交通站点或配备联系公共交通站点的专用接驳车。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6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停车场应具有电动汽车充电设施或具备充电设施的安装条件，并应合理设置电动汽车和无障碍汽车停车位。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0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自行车停车场所应位置合理、方便出入。</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0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建筑设备管理系统应具有自动监控管理功能。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0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建筑应设置信息网络系统。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安全性规范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出行与无障碍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场地与公共公交通站点联系便捷。</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r>
      <w:tr>
        <w:tblPrEx>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建筑室内外公共区域满足全龄化设计要求。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r>
      <w:tr>
        <w:tblPrEx>
          <w:tblCellMar>
            <w:top w:w="0" w:type="dxa"/>
            <w:left w:w="0" w:type="dxa"/>
            <w:bottom w:w="0" w:type="dxa"/>
            <w:right w:w="0" w:type="dxa"/>
          </w:tblCellMar>
        </w:tblPrEx>
        <w:trPr>
          <w:trHeight w:val="31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服务设施</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提供便利的公共服务。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城市绿地、广场及公共运动场地等开敞空间，步行可达。</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合理设置健身场地和空间。</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tblCellMar>
            <w:top w:w="0" w:type="dxa"/>
            <w:left w:w="0" w:type="dxa"/>
            <w:bottom w:w="0" w:type="dxa"/>
            <w:right w:w="0" w:type="dxa"/>
          </w:tblCellMar>
        </w:tblPrEx>
        <w:trPr>
          <w:trHeight w:val="510"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智慧运行</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设置分类、分级用能自动远传计量系统，且设置能源管理系统实现对建筑能耗的监测、数据分析和管理。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57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6"/>
                <w:lang w:val="en-US" w:eastAsia="zh-CN" w:bidi="ar"/>
              </w:rPr>
              <w:t>设置</w:t>
            </w:r>
            <w:r>
              <w:rPr>
                <w:rFonts w:hint="default" w:ascii="Times New Roman" w:hAnsi="Times New Roman" w:eastAsia="宋体" w:cs="Times New Roman"/>
                <w:i w:val="0"/>
                <w:color w:val="000000"/>
                <w:kern w:val="0"/>
                <w:sz w:val="20"/>
                <w:szCs w:val="20"/>
                <w:u w:val="none"/>
                <w:lang w:val="en-US" w:eastAsia="zh-CN" w:bidi="ar"/>
              </w:rPr>
              <w:t>PM10</w:t>
            </w:r>
            <w:r>
              <w:rPr>
                <w:rStyle w:val="6"/>
                <w:lang w:val="en-US" w:eastAsia="zh-CN" w:bidi="ar"/>
              </w:rPr>
              <w:t>、</w:t>
            </w:r>
            <w:r>
              <w:rPr>
                <w:rFonts w:hint="default" w:ascii="Times New Roman" w:hAnsi="Times New Roman" w:eastAsia="宋体" w:cs="Times New Roman"/>
                <w:i w:val="0"/>
                <w:color w:val="000000"/>
                <w:kern w:val="0"/>
                <w:sz w:val="20"/>
                <w:szCs w:val="20"/>
                <w:u w:val="none"/>
                <w:lang w:val="en-US" w:eastAsia="zh-CN" w:bidi="ar"/>
              </w:rPr>
              <w:t>PM2.5</w:t>
            </w:r>
            <w:r>
              <w:rPr>
                <w:rStyle w:val="6"/>
                <w:lang w:val="en-US" w:eastAsia="zh-CN" w:bidi="ar"/>
              </w:rPr>
              <w:t>、</w:t>
            </w:r>
            <w:r>
              <w:rPr>
                <w:rFonts w:hint="default" w:ascii="Times New Roman" w:hAnsi="Times New Roman" w:eastAsia="宋体" w:cs="Times New Roman"/>
                <w:i w:val="0"/>
                <w:color w:val="000000"/>
                <w:kern w:val="0"/>
                <w:sz w:val="20"/>
                <w:szCs w:val="20"/>
                <w:u w:val="none"/>
                <w:lang w:val="en-US" w:eastAsia="zh-CN" w:bidi="ar"/>
              </w:rPr>
              <w:t>CO</w:t>
            </w:r>
            <w:r>
              <w:rPr>
                <w:rFonts w:hint="default" w:ascii="Times New Roman" w:hAnsi="Times New Roman" w:eastAsia="宋体" w:cs="Times New Roman"/>
                <w:i w:val="0"/>
                <w:color w:val="000000"/>
                <w:kern w:val="0"/>
                <w:sz w:val="20"/>
                <w:szCs w:val="20"/>
                <w:u w:val="none"/>
                <w:vertAlign w:val="subscript"/>
                <w:lang w:val="en-US" w:eastAsia="zh-CN" w:bidi="ar"/>
              </w:rPr>
              <w:t>2</w:t>
            </w:r>
            <w:r>
              <w:rPr>
                <w:rStyle w:val="6"/>
                <w:lang w:val="en-US" w:eastAsia="zh-CN" w:bidi="ar"/>
              </w:rPr>
              <w:t>浓度的空气质量监测系统，且具有存储至少一年的监测数据和实时显示等功能。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设置用水远传计量系统、水质在线监测系统。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tblCellMar>
            <w:top w:w="0" w:type="dxa"/>
            <w:left w:w="0" w:type="dxa"/>
            <w:bottom w:w="0" w:type="dxa"/>
            <w:right w:w="0" w:type="dxa"/>
          </w:tblCellMar>
        </w:tblPrEx>
        <w:trPr>
          <w:trHeight w:val="45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具有智能化服务系统。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 </w:t>
            </w:r>
          </w:p>
        </w:tc>
      </w:tr>
      <w:tr>
        <w:tblPrEx>
          <w:shd w:val="clear" w:color="auto" w:fill="auto"/>
          <w:tblCellMar>
            <w:top w:w="0" w:type="dxa"/>
            <w:left w:w="0" w:type="dxa"/>
            <w:bottom w:w="0" w:type="dxa"/>
            <w:right w:w="0" w:type="dxa"/>
          </w:tblCellMar>
        </w:tblPrEx>
        <w:trPr>
          <w:trHeight w:val="315" w:hRule="atLeast"/>
        </w:trPr>
        <w:tc>
          <w:tcPr>
            <w:tcW w:w="41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sectPr>
          <w:pgSz w:w="23757" w:h="16783" w:orient="landscape"/>
          <w:pgMar w:top="1800" w:right="1440" w:bottom="1134" w:left="1440" w:header="851" w:footer="992" w:gutter="0"/>
          <w:cols w:space="425" w:num="1"/>
          <w:docGrid w:type="lines" w:linePitch="312" w:charSpace="0"/>
        </w:sectPr>
      </w:pP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7资源节约</w:t>
      </w:r>
    </w:p>
    <w:tbl>
      <w:tblPr>
        <w:tblStyle w:val="2"/>
        <w:tblW w:w="4999" w:type="pct"/>
        <w:tblInd w:w="0" w:type="dxa"/>
        <w:shd w:val="clear" w:color="auto" w:fill="auto"/>
        <w:tblLayout w:type="autofit"/>
        <w:tblCellMar>
          <w:top w:w="0" w:type="dxa"/>
          <w:left w:w="0" w:type="dxa"/>
          <w:bottom w:w="0" w:type="dxa"/>
          <w:right w:w="0" w:type="dxa"/>
        </w:tblCellMar>
      </w:tblPr>
      <w:tblGrid>
        <w:gridCol w:w="3221"/>
        <w:gridCol w:w="1556"/>
        <w:gridCol w:w="13294"/>
        <w:gridCol w:w="1639"/>
        <w:gridCol w:w="1903"/>
      </w:tblGrid>
      <w:tr>
        <w:tblPrEx>
          <w:tblCellMar>
            <w:top w:w="0" w:type="dxa"/>
            <w:left w:w="0" w:type="dxa"/>
            <w:bottom w:w="0" w:type="dxa"/>
            <w:right w:w="0" w:type="dxa"/>
          </w:tblCellMar>
        </w:tblPrEx>
        <w:trPr>
          <w:trHeight w:val="315" w:hRule="atLeast"/>
        </w:trPr>
        <w:tc>
          <w:tcPr>
            <w:tcW w:w="745"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60"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07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79"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40"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CellMar>
            <w:top w:w="0" w:type="dxa"/>
            <w:left w:w="0" w:type="dxa"/>
            <w:bottom w:w="0" w:type="dxa"/>
            <w:right w:w="0" w:type="dxa"/>
          </w:tblCellMar>
        </w:tblPrEx>
        <w:trPr>
          <w:trHeight w:val="555"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应结合场地自然条件和建筑功能需求，对建筑的体形、平面布局、空间尺度、维护结构等进行节能设计，且应符合国家有关节能设计的要求。</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7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应采取措施降低部分负荷、部分空间使用下的供暖、空调系统能耗。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7.1.3</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应根据建筑空间功能设置分区温度，合理降低室内过渡区空间的温度设定标准。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85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公共区域的照明系统应采用分区、定时、感应等节能控制；采光区域的照明控制应独立于其他区域的照明控制。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0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冷热源、输配系统和照明等各部分能耗应进行独立分项计量。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57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垂直电梯应采取群控、变频调速或能量反馈等节能措施；自动扶梯应采用变频感应启动等节能控制措施。</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7.1.7</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应制定水资源利用方案，统筹利用各种水资源。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7.1.8</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不应采用建筑形体和布置严重不规则的建筑结构。</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1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建筑造型要素应简约，且无大量装饰性构件。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63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7.1.10</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500km</w:t>
            </w:r>
            <w:r>
              <w:rPr>
                <w:rFonts w:hint="eastAsia" w:ascii="宋体" w:hAnsi="宋体" w:eastAsia="宋体" w:cs="宋体"/>
                <w:i w:val="0"/>
                <w:color w:val="000000"/>
                <w:kern w:val="0"/>
                <w:sz w:val="20"/>
                <w:szCs w:val="20"/>
                <w:u w:val="none"/>
                <w:lang w:val="en-US" w:eastAsia="zh-CN" w:bidi="ar"/>
              </w:rPr>
              <w:t>以内生产的建筑材料重量占建筑材料总重量的比例应大于</w:t>
            </w:r>
            <w:r>
              <w:rPr>
                <w:rFonts w:hint="default" w:ascii="Times New Roman" w:hAnsi="Times New Roman" w:eastAsia="宋体" w:cs="Times New Roman"/>
                <w:i w:val="0"/>
                <w:color w:val="000000"/>
                <w:kern w:val="0"/>
                <w:sz w:val="20"/>
                <w:szCs w:val="20"/>
                <w:u w:val="none"/>
                <w:lang w:val="en-US" w:eastAsia="zh-CN" w:bidi="ar"/>
              </w:rPr>
              <w:t>60%</w:t>
            </w:r>
            <w:r>
              <w:rPr>
                <w:rFonts w:hint="eastAsia" w:ascii="宋体" w:hAnsi="宋体" w:eastAsia="宋体" w:cs="宋体"/>
                <w:i w:val="0"/>
                <w:color w:val="000000"/>
                <w:kern w:val="0"/>
                <w:sz w:val="20"/>
                <w:szCs w:val="20"/>
                <w:u w:val="none"/>
                <w:lang w:val="en-US" w:eastAsia="zh-CN" w:bidi="ar"/>
              </w:rPr>
              <w:t>；现浇混凝土应采用预拌混凝土，建筑砂浆应采用预拌砂浆。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7.1.11</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安全性规范</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15"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节地与土地利用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节约集约利用土地。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r>
      <w:tr>
        <w:tblPrEx>
          <w:shd w:val="clear" w:color="auto" w:fill="auto"/>
          <w:tblCellMar>
            <w:top w:w="0" w:type="dxa"/>
            <w:left w:w="0" w:type="dxa"/>
            <w:bottom w:w="0" w:type="dxa"/>
            <w:right w:w="0" w:type="dxa"/>
          </w:tblCellMar>
        </w:tblPrEx>
        <w:trPr>
          <w:trHeight w:val="30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合理开发利用地下空间。</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 </w:t>
            </w:r>
          </w:p>
        </w:tc>
      </w:tr>
      <w:tr>
        <w:tblPrEx>
          <w:shd w:val="clear" w:color="auto" w:fill="auto"/>
          <w:tblCellMar>
            <w:top w:w="0" w:type="dxa"/>
            <w:left w:w="0" w:type="dxa"/>
            <w:bottom w:w="0" w:type="dxa"/>
            <w:right w:w="0" w:type="dxa"/>
          </w:tblCellMar>
        </w:tblPrEx>
        <w:trPr>
          <w:trHeight w:val="30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7.2.3</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采用机械式停车设施、地下停车库或地面停车楼等方式。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shd w:val="clear" w:color="auto" w:fill="auto"/>
          <w:tblCellMar>
            <w:top w:w="0" w:type="dxa"/>
            <w:left w:w="0" w:type="dxa"/>
            <w:bottom w:w="0" w:type="dxa"/>
            <w:right w:w="0" w:type="dxa"/>
          </w:tblCellMar>
        </w:tblPrEx>
        <w:trPr>
          <w:trHeight w:val="315"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节能与能源利用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优化建筑围护结构的热工性能。</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60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供暖空调系统的冷、热源机组能效均优于现行强制性工程建设规范《建筑节能与可再生能源利用通用规范》GB 55015 的规定以及现行有关国家标准能效限定值的要求。</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7.2.6</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采取有效措施降低供暖空调系统的末端系统及输配系统的能耗。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采用节能型电气设备及节能控制措施。</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采取措施降低建筑能耗。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7.2.9</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结合当地气候和自然资源条件合理利用可再生能源。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r>
      <w:tr>
        <w:tblPrEx>
          <w:shd w:val="clear" w:color="auto" w:fill="auto"/>
          <w:tblCellMar>
            <w:top w:w="0" w:type="dxa"/>
            <w:left w:w="0" w:type="dxa"/>
            <w:bottom w:w="0" w:type="dxa"/>
            <w:right w:w="0" w:type="dxa"/>
          </w:tblCellMar>
        </w:tblPrEx>
        <w:trPr>
          <w:trHeight w:val="360"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节水与水资源利用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7.2.10</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使用较高用水效率等级的卫生器具。</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r>
      <w:tr>
        <w:tblPrEx>
          <w:shd w:val="clear" w:color="auto" w:fill="auto"/>
          <w:tblCellMar>
            <w:top w:w="0" w:type="dxa"/>
            <w:left w:w="0" w:type="dxa"/>
            <w:bottom w:w="0" w:type="dxa"/>
            <w:right w:w="0" w:type="dxa"/>
          </w:tblCellMar>
        </w:tblPrEx>
        <w:trPr>
          <w:trHeight w:val="36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7.2.11</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绿化灌溉及空调冷却水系统采用节水设备或技术。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 </w:t>
            </w:r>
          </w:p>
        </w:tc>
      </w:tr>
      <w:tr>
        <w:tblPrEx>
          <w:shd w:val="clear" w:color="auto" w:fill="auto"/>
          <w:tblCellMar>
            <w:top w:w="0" w:type="dxa"/>
            <w:left w:w="0" w:type="dxa"/>
            <w:bottom w:w="0" w:type="dxa"/>
            <w:right w:w="0" w:type="dxa"/>
          </w:tblCellMar>
        </w:tblPrEx>
        <w:trPr>
          <w:trHeight w:val="600"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7.2.12</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结合雨水综合利用设施营造室外景观水体，室外景观水体利用雨水的补水量大于水体蒸发量的</w:t>
            </w:r>
            <w:r>
              <w:rPr>
                <w:rFonts w:hint="default" w:ascii="Times New Roman" w:hAnsi="Times New Roman" w:eastAsia="宋体" w:cs="Times New Roman"/>
                <w:i w:val="0"/>
                <w:color w:val="000000"/>
                <w:kern w:val="0"/>
                <w:sz w:val="20"/>
                <w:szCs w:val="20"/>
                <w:u w:val="none"/>
                <w:lang w:val="en-US" w:eastAsia="zh-CN" w:bidi="ar"/>
              </w:rPr>
              <w:t>60%</w:t>
            </w:r>
            <w:r>
              <w:rPr>
                <w:rFonts w:hint="eastAsia" w:ascii="宋体" w:hAnsi="宋体" w:eastAsia="宋体" w:cs="宋体"/>
                <w:i w:val="0"/>
                <w:color w:val="000000"/>
                <w:kern w:val="0"/>
                <w:sz w:val="20"/>
                <w:szCs w:val="20"/>
                <w:u w:val="none"/>
                <w:lang w:val="en-US" w:eastAsia="zh-CN" w:bidi="ar"/>
              </w:rPr>
              <w:t>，且采用保障水体水质的生态水处理技术。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 </w:t>
            </w:r>
          </w:p>
        </w:tc>
      </w:tr>
      <w:tr>
        <w:tblPrEx>
          <w:shd w:val="clear" w:color="auto" w:fill="auto"/>
          <w:tblCellMar>
            <w:top w:w="0" w:type="dxa"/>
            <w:left w:w="0" w:type="dxa"/>
            <w:bottom w:w="0" w:type="dxa"/>
            <w:right w:w="0" w:type="dxa"/>
          </w:tblCellMar>
        </w:tblPrEx>
        <w:trPr>
          <w:trHeight w:val="34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7.2.13</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使用非传统水源。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 </w:t>
            </w:r>
          </w:p>
        </w:tc>
      </w:tr>
      <w:tr>
        <w:tblPrEx>
          <w:tblCellMar>
            <w:top w:w="0" w:type="dxa"/>
            <w:left w:w="0" w:type="dxa"/>
            <w:bottom w:w="0" w:type="dxa"/>
            <w:right w:w="0" w:type="dxa"/>
          </w:tblCellMar>
        </w:tblPrEx>
        <w:trPr>
          <w:trHeight w:val="345" w:hRule="atLeast"/>
        </w:trPr>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节材与绿色建材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7.2.14</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建筑所有区域实施土建工程与装修工程一体化设计及施工。</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shd w:val="clear" w:color="auto" w:fill="auto"/>
          <w:tblCellMar>
            <w:top w:w="0" w:type="dxa"/>
            <w:left w:w="0" w:type="dxa"/>
            <w:bottom w:w="0" w:type="dxa"/>
            <w:right w:w="0" w:type="dxa"/>
          </w:tblCellMar>
        </w:tblPrEx>
        <w:trPr>
          <w:trHeight w:val="34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7.2.15</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合理选用建筑结构材料与构件。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4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7.2.16</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建筑装修选用工业化内装部品。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tblCellMar>
            <w:top w:w="0" w:type="dxa"/>
            <w:left w:w="0" w:type="dxa"/>
            <w:bottom w:w="0" w:type="dxa"/>
            <w:right w:w="0" w:type="dxa"/>
          </w:tblCellMar>
        </w:tblPrEx>
        <w:trPr>
          <w:trHeight w:val="34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7.2.17</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选用可再循环材料、可再利用材料及利废建材。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 </w:t>
            </w:r>
          </w:p>
        </w:tc>
      </w:tr>
      <w:tr>
        <w:tblPrEx>
          <w:tblCellMar>
            <w:top w:w="0" w:type="dxa"/>
            <w:left w:w="0" w:type="dxa"/>
            <w:bottom w:w="0" w:type="dxa"/>
            <w:right w:w="0" w:type="dxa"/>
          </w:tblCellMar>
        </w:tblPrEx>
        <w:trPr>
          <w:trHeight w:val="345" w:hRule="atLeast"/>
        </w:trPr>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7.2.18</w:t>
            </w:r>
          </w:p>
        </w:tc>
        <w:tc>
          <w:tcPr>
            <w:tcW w:w="30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选用绿色建材。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8.0 </w:t>
            </w:r>
          </w:p>
        </w:tc>
      </w:tr>
      <w:tr>
        <w:tblPrEx>
          <w:shd w:val="clear" w:color="auto" w:fill="auto"/>
          <w:tblCellMar>
            <w:top w:w="0" w:type="dxa"/>
            <w:left w:w="0" w:type="dxa"/>
            <w:bottom w:w="0" w:type="dxa"/>
            <w:right w:w="0" w:type="dxa"/>
          </w:tblCellMar>
        </w:tblPrEx>
        <w:trPr>
          <w:trHeight w:val="315" w:hRule="atLeast"/>
        </w:trPr>
        <w:tc>
          <w:tcPr>
            <w:tcW w:w="418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158.0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8环境宜居</w:t>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tbl>
      <w:tblPr>
        <w:tblStyle w:val="2"/>
        <w:tblW w:w="4999" w:type="pct"/>
        <w:tblInd w:w="0" w:type="dxa"/>
        <w:shd w:val="clear" w:color="auto" w:fill="auto"/>
        <w:tblLayout w:type="autofit"/>
        <w:tblCellMar>
          <w:top w:w="0" w:type="dxa"/>
          <w:left w:w="0" w:type="dxa"/>
          <w:bottom w:w="0" w:type="dxa"/>
          <w:right w:w="0" w:type="dxa"/>
        </w:tblCellMar>
      </w:tblPr>
      <w:tblGrid>
        <w:gridCol w:w="2970"/>
        <w:gridCol w:w="1578"/>
        <w:gridCol w:w="13476"/>
        <w:gridCol w:w="1660"/>
        <w:gridCol w:w="1929"/>
      </w:tblGrid>
      <w:tr>
        <w:tblPrEx>
          <w:tblCellMar>
            <w:top w:w="0" w:type="dxa"/>
            <w:left w:w="0" w:type="dxa"/>
            <w:bottom w:w="0" w:type="dxa"/>
            <w:right w:w="0" w:type="dxa"/>
          </w:tblCellMar>
        </w:tblPrEx>
        <w:trPr>
          <w:trHeight w:val="315" w:hRule="atLeast"/>
        </w:trPr>
        <w:tc>
          <w:tcPr>
            <w:tcW w:w="687"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65"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11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8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4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tblCellMar>
            <w:top w:w="0" w:type="dxa"/>
            <w:left w:w="0" w:type="dxa"/>
            <w:bottom w:w="0" w:type="dxa"/>
            <w:right w:w="0" w:type="dxa"/>
          </w:tblCellMar>
        </w:tblPrEx>
        <w:trPr>
          <w:trHeight w:val="390"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控制项</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建筑规划布局应满足日照标准，且不得降低周边建筑的日照标准。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9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室外热环境应满足国家现行有关标准的要求。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79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配建的绿地应符合所在地城乡规划的要求，应合理选择绿化方式，植物种植应适应当地气候和土壤，且应无毒害、易维护，种植区域覆土深度和排水能力应满足植物生产需求，并应采用复层绿化方式。</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63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场地的竖向设计应有利于雨水的收集或排放，应有效组织雨水的下渗、滞蓄或再利用；对大于</w:t>
            </w:r>
            <w:r>
              <w:rPr>
                <w:rFonts w:hint="default" w:ascii="Times New Roman" w:hAnsi="Times New Roman" w:eastAsia="宋体" w:cs="Times New Roman"/>
                <w:i w:val="0"/>
                <w:color w:val="000000"/>
                <w:kern w:val="0"/>
                <w:sz w:val="20"/>
                <w:szCs w:val="20"/>
                <w:u w:val="none"/>
                <w:lang w:val="en-US" w:eastAsia="zh-CN" w:bidi="ar"/>
              </w:rPr>
              <w:t>10hm</w:t>
            </w:r>
            <w:r>
              <w:rPr>
                <w:rFonts w:hint="default" w:ascii="Times New Roman" w:hAnsi="Times New Roman" w:eastAsia="宋体" w:cs="Times New Roman"/>
                <w:i w:val="0"/>
                <w:color w:val="000000"/>
                <w:kern w:val="0"/>
                <w:sz w:val="20"/>
                <w:szCs w:val="20"/>
                <w:u w:val="none"/>
                <w:vertAlign w:val="superscript"/>
                <w:lang w:val="en-US" w:eastAsia="zh-CN" w:bidi="ar"/>
              </w:rPr>
              <w:t>2</w:t>
            </w:r>
            <w:r>
              <w:rPr>
                <w:rFonts w:hint="eastAsia" w:ascii="宋体" w:hAnsi="宋体" w:eastAsia="宋体" w:cs="宋体"/>
                <w:i w:val="0"/>
                <w:color w:val="000000"/>
                <w:kern w:val="0"/>
                <w:sz w:val="20"/>
                <w:szCs w:val="20"/>
                <w:u w:val="none"/>
                <w:lang w:val="en-US" w:eastAsia="zh-CN" w:bidi="ar"/>
              </w:rPr>
              <w:t>的场地应进行雨水控制利用专项设计。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建筑内外均应设置便于识别和使用的标识系统。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场地内不应有排放超标的污染源。</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生活垃圾应分类收集，垃圾容器和收集点的设置应合理并应与周围景观协调。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安全性规范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场地生态与景观</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充分保护或修复场地生态环境，合理布局建筑及景观。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规划场地地标和屋面雨水径流，对场地雨水实施外排总量控制。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充分利用场地空间设置绿化用地。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室外吸烟区位置布局合理。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 </w:t>
            </w:r>
          </w:p>
        </w:tc>
      </w:tr>
      <w:tr>
        <w:tblPrEx>
          <w:tblCellMar>
            <w:top w:w="0" w:type="dxa"/>
            <w:left w:w="0" w:type="dxa"/>
            <w:bottom w:w="0" w:type="dxa"/>
            <w:right w:w="0" w:type="dxa"/>
          </w:tblCellMar>
        </w:tblPrEx>
        <w:trPr>
          <w:trHeight w:val="33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利用场地空间设置绿色雨水基础设施。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 </w:t>
            </w:r>
          </w:p>
        </w:tc>
      </w:tr>
      <w:tr>
        <w:tblPrEx>
          <w:tblCellMar>
            <w:top w:w="0" w:type="dxa"/>
            <w:left w:w="0" w:type="dxa"/>
            <w:bottom w:w="0" w:type="dxa"/>
            <w:right w:w="0" w:type="dxa"/>
          </w:tblCellMar>
        </w:tblPrEx>
        <w:trPr>
          <w:trHeight w:val="34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室外物理环境</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场地内的环境噪声优于现行国家标准《声环境质量标准》</w:t>
            </w:r>
            <w:r>
              <w:rPr>
                <w:rFonts w:hint="default" w:ascii="Times New Roman" w:hAnsi="Times New Roman" w:eastAsia="宋体" w:cs="Times New Roman"/>
                <w:i w:val="0"/>
                <w:color w:val="000000"/>
                <w:kern w:val="0"/>
                <w:sz w:val="20"/>
                <w:szCs w:val="20"/>
                <w:u w:val="none"/>
                <w:lang w:val="en-US" w:eastAsia="zh-CN" w:bidi="ar"/>
              </w:rPr>
              <w:t>GB 3096</w:t>
            </w:r>
            <w:r>
              <w:rPr>
                <w:rFonts w:hint="eastAsia" w:ascii="宋体" w:hAnsi="宋体" w:eastAsia="宋体" w:cs="宋体"/>
                <w:i w:val="0"/>
                <w:color w:val="000000"/>
                <w:kern w:val="0"/>
                <w:sz w:val="20"/>
                <w:szCs w:val="20"/>
                <w:u w:val="none"/>
                <w:lang w:val="en-US" w:eastAsia="zh-CN" w:bidi="ar"/>
              </w:rPr>
              <w:t>的要求。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建筑室外照明及室外显示屏避免产生光污染。</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场地内风环境有利于室外行走、活动舒适和建筑的自然通风。</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8.2.9</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采取措施降低热岛强度。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tblCellMar>
            <w:top w:w="0" w:type="dxa"/>
            <w:left w:w="0" w:type="dxa"/>
            <w:bottom w:w="0" w:type="dxa"/>
            <w:right w:w="0" w:type="dxa"/>
          </w:tblCellMar>
        </w:tblPrEx>
        <w:trPr>
          <w:trHeight w:val="315" w:hRule="atLeast"/>
        </w:trPr>
        <w:tc>
          <w:tcPr>
            <w:tcW w:w="41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sectPr>
          <w:pgSz w:w="23757" w:h="16783" w:orient="landscape"/>
          <w:pgMar w:top="1134" w:right="1080" w:bottom="1440" w:left="1080" w:header="851" w:footer="992" w:gutter="0"/>
          <w:cols w:space="425" w:num="1"/>
          <w:docGrid w:type="lines" w:linePitch="312" w:charSpace="0"/>
        </w:sectPr>
      </w:pP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r>
        <w:rPr>
          <w:rFonts w:hint="eastAsia" w:ascii="黑体" w:hAnsi="黑体" w:eastAsia="黑体" w:cs="黑体"/>
          <w:b/>
          <w:bCs w:val="0"/>
          <w:i w:val="0"/>
          <w:color w:val="305496"/>
          <w:kern w:val="0"/>
          <w:sz w:val="44"/>
          <w:szCs w:val="44"/>
          <w:u w:val="none"/>
          <w:lang w:val="en-US" w:eastAsia="zh-CN" w:bidi="ar"/>
        </w:rPr>
        <w:t>9提高与创新</w:t>
      </w:r>
    </w:p>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tbl>
      <w:tblPr>
        <w:tblStyle w:val="2"/>
        <w:tblW w:w="4999" w:type="pct"/>
        <w:tblInd w:w="0" w:type="dxa"/>
        <w:shd w:val="clear" w:color="auto" w:fill="auto"/>
        <w:tblLayout w:type="autofit"/>
        <w:tblCellMar>
          <w:top w:w="0" w:type="dxa"/>
          <w:left w:w="0" w:type="dxa"/>
          <w:bottom w:w="0" w:type="dxa"/>
          <w:right w:w="0" w:type="dxa"/>
        </w:tblCellMar>
      </w:tblPr>
      <w:tblGrid>
        <w:gridCol w:w="2970"/>
        <w:gridCol w:w="1578"/>
        <w:gridCol w:w="13476"/>
        <w:gridCol w:w="1660"/>
        <w:gridCol w:w="1929"/>
      </w:tblGrid>
      <w:tr>
        <w:tblPrEx>
          <w:shd w:val="clear" w:color="auto" w:fill="auto"/>
          <w:tblCellMar>
            <w:top w:w="0" w:type="dxa"/>
            <w:left w:w="0" w:type="dxa"/>
            <w:bottom w:w="0" w:type="dxa"/>
            <w:right w:w="0" w:type="dxa"/>
          </w:tblCellMar>
        </w:tblPrEx>
        <w:trPr>
          <w:trHeight w:val="315" w:hRule="atLeast"/>
        </w:trPr>
        <w:tc>
          <w:tcPr>
            <w:tcW w:w="687"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类别</w:t>
            </w:r>
          </w:p>
        </w:tc>
        <w:tc>
          <w:tcPr>
            <w:tcW w:w="365"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编号</w:t>
            </w:r>
          </w:p>
        </w:tc>
        <w:tc>
          <w:tcPr>
            <w:tcW w:w="311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标准条文</w:t>
            </w:r>
          </w:p>
        </w:tc>
        <w:tc>
          <w:tcPr>
            <w:tcW w:w="384"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46" w:type="pct"/>
            <w:tcBorders>
              <w:top w:val="single" w:color="000000" w:sz="4" w:space="0"/>
              <w:left w:val="single" w:color="000000" w:sz="4" w:space="0"/>
              <w:bottom w:val="single" w:color="000000" w:sz="4" w:space="0"/>
              <w:right w:val="single" w:color="000000" w:sz="4" w:space="0"/>
            </w:tcBorders>
            <w:shd w:val="clear" w:color="auto" w:fill="F2F2F2"/>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自评得分</w:t>
            </w:r>
          </w:p>
        </w:tc>
      </w:tr>
      <w:tr>
        <w:tblPrEx>
          <w:shd w:val="clear" w:color="auto" w:fill="auto"/>
          <w:tblCellMar>
            <w:top w:w="0" w:type="dxa"/>
            <w:left w:w="0" w:type="dxa"/>
            <w:bottom w:w="0" w:type="dxa"/>
            <w:right w:w="0" w:type="dxa"/>
          </w:tblCellMar>
        </w:tblPrEx>
        <w:trPr>
          <w:trHeight w:val="375"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加分项</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采取措施进一步降低建筑供暖空调系统的能耗。</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9.2.2</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采用适宜地区特色的建筑风貌设计，因地制宜传承地域建筑文化。</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9.2.3</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采用蓄冷蓄热蓄电、建筑设备智能调节等技术实现建筑电力交互。</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9.2.4</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场地率容绿不低于</w:t>
            </w:r>
            <w:r>
              <w:rPr>
                <w:rFonts w:hint="default" w:ascii="Times New Roman" w:hAnsi="Times New Roman" w:eastAsia="宋体" w:cs="Times New Roman"/>
                <w:i w:val="0"/>
                <w:color w:val="000000"/>
                <w:kern w:val="0"/>
                <w:sz w:val="20"/>
                <w:szCs w:val="20"/>
                <w:u w:val="none"/>
                <w:lang w:val="en-US" w:eastAsia="zh-CN" w:bidi="ar"/>
              </w:rPr>
              <w:t>3.0</w:t>
            </w:r>
            <w:r>
              <w:rPr>
                <w:rFonts w:hint="eastAsia" w:ascii="宋体" w:hAnsi="宋体" w:eastAsia="宋体" w:cs="宋体"/>
                <w:i w:val="0"/>
                <w:color w:val="000000"/>
                <w:kern w:val="0"/>
                <w:sz w:val="20"/>
                <w:szCs w:val="20"/>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采用符合工业化建造要求的结构体系与建筑构件。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9.2.6</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应用建筑信息模型（</w:t>
            </w:r>
            <w:r>
              <w:rPr>
                <w:rFonts w:hint="default" w:ascii="Times New Roman" w:hAnsi="Times New Roman" w:eastAsia="宋体" w:cs="Times New Roman"/>
                <w:i w:val="0"/>
                <w:color w:val="000000"/>
                <w:kern w:val="0"/>
                <w:sz w:val="20"/>
                <w:szCs w:val="20"/>
                <w:u w:val="none"/>
                <w:lang w:val="en-US" w:eastAsia="zh-CN" w:bidi="ar"/>
              </w:rPr>
              <w:t>BIM</w:t>
            </w:r>
            <w:r>
              <w:rPr>
                <w:rFonts w:hint="eastAsia" w:ascii="宋体" w:hAnsi="宋体" w:eastAsia="宋体" w:cs="宋体"/>
                <w:i w:val="0"/>
                <w:color w:val="000000"/>
                <w:kern w:val="0"/>
                <w:sz w:val="20"/>
                <w:szCs w:val="20"/>
                <w:u w:val="none"/>
                <w:lang w:val="en-US" w:eastAsia="zh-CN" w:bidi="ar"/>
              </w:rPr>
              <w:t>）技术。</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9.2.7</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采取措施降低建筑全寿命期碳排放强度。</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15.0 </w:t>
            </w:r>
          </w:p>
        </w:tc>
      </w:tr>
      <w:tr>
        <w:tblPrEx>
          <w:shd w:val="clear" w:color="auto" w:fill="auto"/>
          <w:tblCellMar>
            <w:top w:w="0" w:type="dxa"/>
            <w:left w:w="0" w:type="dxa"/>
            <w:bottom w:w="0" w:type="dxa"/>
            <w:right w:w="0" w:type="dxa"/>
          </w:tblCellMar>
        </w:tblPrEx>
        <w:trPr>
          <w:trHeight w:val="37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9.2.9</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采用建设工程质量潜在缺陷保险产品或绿色建筑性能保险产品。</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555"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9.2.10</w:t>
            </w:r>
          </w:p>
        </w:tc>
        <w:tc>
          <w:tcPr>
            <w:tcW w:w="311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采取节约资源、保护生态环境、降低碳排放、保障安全健康、智慧友好运行、传承历史文化等其他创新，并有明显效益。</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r>
      <w:tr>
        <w:tblPrEx>
          <w:shd w:val="clear" w:color="auto" w:fill="auto"/>
          <w:tblCellMar>
            <w:top w:w="0" w:type="dxa"/>
            <w:left w:w="0" w:type="dxa"/>
            <w:bottom w:w="0" w:type="dxa"/>
            <w:right w:w="0" w:type="dxa"/>
          </w:tblCellMar>
        </w:tblPrEx>
        <w:trPr>
          <w:trHeight w:val="315" w:hRule="atLeast"/>
        </w:trPr>
        <w:tc>
          <w:tcPr>
            <w:tcW w:w="416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bl>
    <w:p>
      <w:pPr>
        <w:keepNext w:val="0"/>
        <w:keepLines w:val="0"/>
        <w:widowControl/>
        <w:suppressLineNumbers w:val="0"/>
        <w:jc w:val="center"/>
        <w:textAlignment w:val="center"/>
        <w:rPr>
          <w:rFonts w:hint="eastAsia" w:ascii="黑体" w:hAnsi="黑体" w:eastAsia="黑体" w:cs="黑体"/>
          <w:b/>
          <w:bCs w:val="0"/>
          <w:i w:val="0"/>
          <w:color w:val="305496"/>
          <w:kern w:val="0"/>
          <w:sz w:val="44"/>
          <w:szCs w:val="44"/>
          <w:u w:val="none"/>
          <w:lang w:val="en-US" w:eastAsia="zh-CN" w:bidi="ar"/>
        </w:rPr>
      </w:pPr>
    </w:p>
    <w:sectPr>
      <w:pgSz w:w="23757" w:h="16783" w:orient="landscape"/>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01BA2"/>
    <w:rsid w:val="13837F63"/>
    <w:rsid w:val="20743798"/>
    <w:rsid w:val="24402244"/>
    <w:rsid w:val="280E6FC1"/>
    <w:rsid w:val="2DE01BA2"/>
    <w:rsid w:val="2E332458"/>
    <w:rsid w:val="4A74041A"/>
    <w:rsid w:val="51F06112"/>
    <w:rsid w:val="622C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0"/>
      <w:szCs w:val="20"/>
      <w:u w:val="none"/>
    </w:rPr>
  </w:style>
  <w:style w:type="character" w:customStyle="1" w:styleId="5">
    <w:name w:val="font01"/>
    <w:basedOn w:val="3"/>
    <w:uiPriority w:val="0"/>
    <w:rPr>
      <w:rFonts w:hint="default" w:ascii="Times New Roman" w:hAnsi="Times New Roman" w:cs="Times New Roman"/>
      <w:color w:val="000000"/>
      <w:sz w:val="20"/>
      <w:szCs w:val="20"/>
      <w:u w:val="none"/>
    </w:rPr>
  </w:style>
  <w:style w:type="character" w:customStyle="1" w:styleId="6">
    <w:name w:val="font2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2026-02-25T17:02:00Z</dcterms:created>
  <dc:creator>树叶世界</dc:creator>
  <cp:lastModifiedBy>树叶世界</cp:lastModifiedBy>
  <dcterms:modified xsi:type="dcterms:W3CDTF">2026-02-28T15:10:06Z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