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480" w:after="480" w:line="288" w:lineRule="auto"/>
        <w:ind w:left="0"/>
        <w:jc w:val="center"/>
      </w:pPr>
      <w:r>
        <w:rPr>
          <w:rFonts w:ascii="Arial" w:hAnsi="Arial" w:eastAsia="等线" w:cs="Arial"/>
          <w:b/>
          <w:sz w:val="52"/>
        </w:rPr>
        <w:t>平潭绿色建筑碳汇设计方案及仿真验证</w:t>
      </w:r>
    </w:p>
    <w:p>
      <w:pPr>
        <w:spacing w:before="380" w:after="140" w:line="288" w:lineRule="auto"/>
        <w:ind w:left="0"/>
        <w:jc w:val="left"/>
        <w:outlineLvl w:val="0"/>
      </w:pPr>
      <w:bookmarkStart w:id="0" w:name="heading_0"/>
      <w:r>
        <w:rPr>
          <w:rFonts w:ascii="Arial" w:hAnsi="Arial" w:eastAsia="等线" w:cs="Arial"/>
          <w:b/>
          <w:sz w:val="36"/>
        </w:rPr>
        <w:t>一、设计总则</w:t>
      </w:r>
      <w:bookmarkEnd w:id="0"/>
    </w:p>
    <w:p>
      <w:pPr>
        <w:spacing w:before="320" w:after="120" w:line="288" w:lineRule="auto"/>
        <w:ind w:left="0"/>
        <w:jc w:val="left"/>
        <w:outlineLvl w:val="1"/>
      </w:pPr>
      <w:bookmarkStart w:id="1" w:name="heading_1"/>
      <w:r>
        <w:rPr>
          <w:rFonts w:ascii="Arial" w:hAnsi="Arial" w:eastAsia="等线" w:cs="Arial"/>
          <w:b/>
          <w:sz w:val="32"/>
        </w:rPr>
        <w:t>1.1设计背景</w:t>
      </w:r>
      <w:bookmarkEnd w:id="1"/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平潭综合实验区具有独特的气候特征：夏季高温高湿（平均气温26-30℃，相对湿度75%-85%）、日照强烈（年日照时数2000-2200h），冬季海风凛冽（平均风速6-8m/s，瞬时阵风可达10m/s以上）；同时拥有丰富的本土资源，包括牡蛎壳（水产养殖废弃物，年产生量可观）、石头厝石材（花岗岩类，本土储量丰富、开采便捷），具备开展本土化碳汇设计的先天条件。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本方案围绕绿色建筑碳汇核心，整合能源碳汇（清洁能源利用）、材料碳汇（本土低碳材料应用）、植被碳汇（立体绿化+雨水利用协同）三大维度，结合平潭气候优势与本土材料特性，通过专业软件仿真验证，确保方案的技术可行性与落地性，实现建筑全生命周期碳减排与碳封存的双重目标，契合平潭零碳岛建设理念与绿色建筑发展要求。</w:t>
      </w:r>
    </w:p>
    <w:p>
      <w:pPr>
        <w:spacing w:before="320" w:after="120" w:line="288" w:lineRule="auto"/>
        <w:ind w:left="0"/>
        <w:jc w:val="left"/>
        <w:outlineLvl w:val="1"/>
      </w:pPr>
      <w:bookmarkStart w:id="2" w:name="heading_2"/>
      <w:r>
        <w:rPr>
          <w:rFonts w:ascii="Arial" w:hAnsi="Arial" w:eastAsia="等线" w:cs="Arial"/>
          <w:b/>
          <w:sz w:val="32"/>
        </w:rPr>
        <w:t>1.2设计目标</w:t>
      </w:r>
      <w:bookmarkEnd w:id="2"/>
    </w:p>
    <w:p>
      <w:pPr>
        <w:numPr>
          <w:ilvl w:val="0"/>
          <w:numId w:val="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能源维度：充分利用平潭日照、海风资源，构建清洁能源供应体系，降低建筑运行阶段碳排放，实现年清洁能源利用率≥60%，年碳减排量≥80kgCO₂/㎡。</w:t>
      </w:r>
    </w:p>
    <w:p>
      <w:pPr>
        <w:numPr>
          <w:ilvl w:val="0"/>
          <w:numId w:val="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材料维度：推广牡蛎壳、石头厝等本土低碳材料，替代高碳排放建材，实现材料隐含碳降低≥30%，同时利用材料特性实现碳封存，年碳封存能力≥25kgCO₂/㎡。</w:t>
      </w:r>
    </w:p>
    <w:p>
      <w:pPr>
        <w:numPr>
          <w:ilvl w:val="0"/>
          <w:numId w:val="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植被维度：构建建筑周边+屋顶花园的立体绿化体系，搭配平潭乡土耐候植被，结合雨水收集系统，提升植被碳汇能力，实现年植被碳汇量≥15kgCO₂/㎡，雨水收集利用率≥80%。</w:t>
      </w:r>
    </w:p>
    <w:p>
      <w:pPr>
        <w:numPr>
          <w:ilvl w:val="0"/>
          <w:numId w:val="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仿真验证：通过专业软件模拟，确保建筑热工、光环境、结构响应等关键指标达标，验证方案在平潭气候条件下的适配性与落地可行性。</w:t>
      </w:r>
    </w:p>
    <w:p>
      <w:pPr>
        <w:spacing w:before="380" w:after="140" w:line="288" w:lineRule="auto"/>
        <w:ind w:left="0"/>
        <w:jc w:val="left"/>
        <w:outlineLvl w:val="0"/>
      </w:pPr>
      <w:bookmarkStart w:id="3" w:name="heading_3"/>
      <w:r>
        <w:rPr>
          <w:rFonts w:ascii="Arial" w:hAnsi="Arial" w:eastAsia="等线" w:cs="Arial"/>
          <w:b/>
          <w:sz w:val="36"/>
        </w:rPr>
        <w:t>二、碳汇设计方案</w:t>
      </w:r>
      <w:bookmarkEnd w:id="3"/>
    </w:p>
    <w:p>
      <w:pPr>
        <w:spacing w:before="320" w:after="120" w:line="288" w:lineRule="auto"/>
        <w:ind w:left="0"/>
        <w:jc w:val="left"/>
        <w:outlineLvl w:val="1"/>
      </w:pPr>
      <w:bookmarkStart w:id="4" w:name="heading_4"/>
      <w:r>
        <w:rPr>
          <w:rFonts w:ascii="Arial" w:hAnsi="Arial" w:eastAsia="等线" w:cs="Arial"/>
          <w:b/>
          <w:sz w:val="32"/>
        </w:rPr>
        <w:t>2.1能源碳汇设计（基于平潭气候优势）</w:t>
      </w:r>
      <w:bookmarkEnd w:id="4"/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结合平潭日照强烈、海风充沛的能源优势，构建“光伏+风电+被动式节能”协同的能源碳汇体系，实现能源自给自足与碳减排，同时降低建筑运行能耗，间接提升碳汇效益。</w:t>
      </w:r>
    </w:p>
    <w:p>
      <w:pPr>
        <w:spacing w:before="300" w:after="120" w:line="288" w:lineRule="auto"/>
        <w:ind w:left="0"/>
        <w:jc w:val="left"/>
        <w:outlineLvl w:val="2"/>
      </w:pPr>
      <w:bookmarkStart w:id="5" w:name="heading_5"/>
      <w:r>
        <w:rPr>
          <w:rFonts w:ascii="Arial" w:hAnsi="Arial" w:eastAsia="等线" w:cs="Arial"/>
          <w:b/>
          <w:sz w:val="30"/>
        </w:rPr>
        <w:t>2.1.1主动式清洁能源利用</w:t>
      </w:r>
      <w:bookmarkEnd w:id="5"/>
    </w:p>
    <w:p>
      <w:pPr>
        <w:numPr>
          <w:ilvl w:val="0"/>
          <w:numId w:val="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屋顶光伏系统：利用平潭充足日照，在建筑屋顶铺设高效光伏组件，优先选用适配高温高湿环境的抗腐蚀组件，避免海风盐雾对设备的侵蚀；光伏组件与屋顶花园协同布局，预留植被种植空间，兼顾碳汇与能源生产。</w:t>
      </w:r>
    </w:p>
    <w:p>
      <w:pPr>
        <w:numPr>
          <w:ilvl w:val="0"/>
          <w:numId w:val="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小型分布式风电系统：针对平潭冬季海风凛冽的特点，在建筑周边空旷区域（避开植被种植区）布置小型分布式风机，选用抗强风、低噪音型号，利用冬季海风发电，弥补光伏系统冬季发电量不足的短板，实现“夏光冬风”互补。</w:t>
      </w:r>
    </w:p>
    <w:p>
      <w:pPr>
        <w:spacing w:before="300" w:after="120" w:line="288" w:lineRule="auto"/>
        <w:ind w:left="0"/>
        <w:jc w:val="left"/>
        <w:outlineLvl w:val="2"/>
      </w:pPr>
      <w:bookmarkStart w:id="6" w:name="heading_6"/>
      <w:r>
        <w:rPr>
          <w:rFonts w:ascii="Arial" w:hAnsi="Arial" w:eastAsia="等线" w:cs="Arial"/>
          <w:b/>
          <w:sz w:val="30"/>
        </w:rPr>
        <w:t>2.1.2被动式能源节能设计</w:t>
      </w:r>
      <w:bookmarkEnd w:id="6"/>
    </w:p>
    <w:p>
      <w:pPr>
        <w:numPr>
          <w:ilvl w:val="0"/>
          <w:numId w:val="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建筑朝向优化：结合平潭太阳辐射规律，建筑主体采用南偏东2.5°朝向（契合平潭石头厝最佳朝向研究结论），夏季减少太阳直射，冬季充分利用太阳辐射采暖，降低空调、采暖能耗。</w:t>
      </w:r>
    </w:p>
    <w:p>
      <w:pPr>
        <w:numPr>
          <w:ilvl w:val="0"/>
          <w:numId w:val="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遮阳与通风设计：夏季高温时段，利用屋顶花园植被、建筑外遮阳构件（采用石头厝石材加工，兼具本土特色与遮阳功能）遮挡阳光；合理设置通风窗，利用海风实现自然通风，降低室内湿度与温度，减少空调使用频率。</w:t>
      </w:r>
    </w:p>
    <w:p>
      <w:pPr>
        <w:numPr>
          <w:ilvl w:val="0"/>
          <w:numId w:val="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保温隔热设计：外墙采用石头厝石材+牡蛎壳保温砂浆复合构造，利用石材的高热稳定性与牡蛎壳的保温隔热性能，减少室内外热量传递，降低能耗，同时实现材料碳封存与能源节能的协同。</w:t>
      </w:r>
    </w:p>
    <w:p>
      <w:pPr>
        <w:numPr>
          <w:numId w:val="0"/>
        </w:numPr>
        <w:spacing w:before="120" w:after="120" w:line="288" w:lineRule="auto"/>
        <w:jc w:val="center"/>
      </w:pPr>
      <w:r>
        <w:drawing>
          <wp:inline distT="0" distB="0" distL="114300" distR="114300">
            <wp:extent cx="5759450" cy="2933065"/>
            <wp:effectExtent l="0" t="0" r="635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rcRect l="4465" b="886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93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20" w:after="120" w:line="288" w:lineRule="auto"/>
        <w:ind w:left="0"/>
        <w:jc w:val="left"/>
        <w:outlineLvl w:val="1"/>
      </w:pPr>
      <w:bookmarkStart w:id="7" w:name="heading_7"/>
      <w:r>
        <w:rPr>
          <w:rFonts w:ascii="Arial" w:hAnsi="Arial" w:eastAsia="等线" w:cs="Arial"/>
          <w:b/>
          <w:sz w:val="32"/>
        </w:rPr>
        <w:t>2.2材料碳汇设计（基于平潭本土材料）</w:t>
      </w:r>
      <w:bookmarkEnd w:id="7"/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以平潭牡蛎壳、石头厝石材为核心，替代传统高碳排放建材（如普通混凝土、瓷砖等），利用本土材料的低碳特性、碳封存能力，结合材料加工工艺优化，实现材料全生命周期碳减排与碳汇，同时传承平潭本土建筑文化。</w:t>
      </w:r>
    </w:p>
    <w:p>
      <w:pPr>
        <w:spacing w:before="300" w:after="120" w:line="288" w:lineRule="auto"/>
        <w:ind w:left="0"/>
        <w:jc w:val="left"/>
        <w:outlineLvl w:val="2"/>
      </w:pPr>
      <w:bookmarkStart w:id="8" w:name="heading_8"/>
      <w:r>
        <w:rPr>
          <w:rFonts w:ascii="Arial" w:hAnsi="Arial" w:eastAsia="等线" w:cs="Arial"/>
          <w:b/>
          <w:sz w:val="30"/>
        </w:rPr>
        <w:t>2.2.1核心本土材料应用</w:t>
      </w:r>
      <w:bookmarkEnd w:id="8"/>
    </w:p>
    <w:p>
      <w:pPr>
        <w:numPr>
          <w:ilvl w:val="0"/>
          <w:numId w:val="1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石头厝石材（花岗岩）：主要用于建筑外墙、屋面、地面及遮阳构件，石材本土开采、运输距离短（参考基准建筑材料运输标准，运输距离控制在40km内），隐含碳低；花岗岩密度大、耐久性强，可长期使用，减少材料更换频率，降低碳排放，同时其本身可封存一定量的碳元素。</w:t>
      </w:r>
    </w:p>
    <w:p>
      <w:pPr>
        <w:numPr>
          <w:ilvl w:val="0"/>
          <w:numId w:val="1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牡蛎壳材料：作为水产养殖废弃物，经破碎、研磨、改性处理后，用于制备保温砂浆、墙面装饰材料、透水铺装材料；牡蛎壳主要成分为碳酸钙（含量90%-95%），可实现碳封存（每吨干燥牡蛎壳可固定0.53-0.75吨CO₂当量），同时其多孔结构具备良好的保温、透气性能，适配平潭高温高湿气候，且可替代传统保温材料（如聚苯板），降低隐含碳。</w:t>
      </w:r>
    </w:p>
    <w:p>
      <w:pPr>
        <w:numPr>
          <w:ilvl w:val="0"/>
          <w:numId w:val="0"/>
        </w:numPr>
        <w:spacing w:before="120" w:after="120" w:line="288" w:lineRule="auto"/>
        <w:jc w:val="center"/>
        <w:rPr>
          <w:rFonts w:hint="default" w:eastAsiaTheme="minorEastAsia"/>
          <w:lang w:val="en-US" w:eastAsia="zh-CN"/>
        </w:rPr>
      </w:pPr>
      <w:r>
        <w:drawing>
          <wp:inline distT="0" distB="0" distL="114300" distR="114300">
            <wp:extent cx="2616835" cy="2030095"/>
            <wp:effectExtent l="0" t="0" r="12065" b="19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rcRect b="4534"/>
                    <a:stretch>
                      <a:fillRect/>
                    </a:stretch>
                  </pic:blipFill>
                  <pic:spPr>
                    <a:xfrm>
                      <a:off x="0" y="0"/>
                      <a:ext cx="261683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</w:t>
      </w:r>
      <w:r>
        <w:drawing>
          <wp:inline distT="0" distB="0" distL="114300" distR="114300">
            <wp:extent cx="3365500" cy="1885315"/>
            <wp:effectExtent l="0" t="0" r="0" b="6985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rcRect t="33346" b="33495"/>
                    <a:stretch>
                      <a:fillRect/>
                    </a:stretch>
                  </pic:blipFill>
                  <pic:spPr>
                    <a:xfrm>
                      <a:off x="0" y="0"/>
                      <a:ext cx="3365500" cy="188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20"/>
        <w:gridCol w:w="2815"/>
        <w:gridCol w:w="2527"/>
        <w:gridCol w:w="239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2220" w:type="dxa"/>
            <w:vAlign w:val="center"/>
          </w:tcPr>
          <w:p>
            <w:pPr>
              <w:numPr>
                <w:ilvl w:val="0"/>
                <w:numId w:val="0"/>
              </w:numPr>
              <w:spacing w:before="120" w:after="120" w:line="288" w:lineRule="auto"/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1349375" cy="1800860"/>
                  <wp:effectExtent l="0" t="0" r="9525" b="2540"/>
                  <wp:docPr id="13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9375" cy="180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5" w:type="dxa"/>
            <w:vAlign w:val="center"/>
          </w:tcPr>
          <w:p>
            <w:pPr>
              <w:numPr>
                <w:ilvl w:val="0"/>
                <w:numId w:val="0"/>
              </w:numPr>
              <w:spacing w:before="120" w:after="120" w:line="288" w:lineRule="auto"/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1624330" cy="1801495"/>
                  <wp:effectExtent l="0" t="0" r="1270" b="1905"/>
                  <wp:docPr id="8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9975" b="69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330" cy="18014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7" w:type="dxa"/>
            <w:vAlign w:val="center"/>
          </w:tcPr>
          <w:p>
            <w:pPr>
              <w:numPr>
                <w:ilvl w:val="0"/>
                <w:numId w:val="0"/>
              </w:numPr>
              <w:spacing w:before="120" w:after="120" w:line="288" w:lineRule="auto"/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1351280" cy="1804035"/>
                  <wp:effectExtent l="0" t="0" r="7620" b="12065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1280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9" w:type="dxa"/>
            <w:vAlign w:val="center"/>
          </w:tcPr>
          <w:p>
            <w:pPr>
              <w:numPr>
                <w:ilvl w:val="0"/>
                <w:numId w:val="0"/>
              </w:numPr>
              <w:spacing w:before="120" w:after="120" w:line="288" w:lineRule="auto"/>
              <w:jc w:val="center"/>
              <w:rPr>
                <w:vertAlign w:val="baseline"/>
              </w:rPr>
            </w:pPr>
            <w:r>
              <w:drawing>
                <wp:inline distT="0" distB="0" distL="114300" distR="114300">
                  <wp:extent cx="1361440" cy="1812925"/>
                  <wp:effectExtent l="0" t="0" r="10160" b="3175"/>
                  <wp:docPr id="11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181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035" w:type="dxa"/>
            <w:gridSpan w:val="2"/>
            <w:vAlign w:val="center"/>
          </w:tcPr>
          <w:p>
            <w:pPr>
              <w:numPr>
                <w:ilvl w:val="0"/>
                <w:numId w:val="0"/>
              </w:numPr>
              <w:spacing w:before="120" w:after="120" w:line="288" w:lineRule="auto"/>
              <w:jc w:val="center"/>
              <w:rPr>
                <w:vertAlign w:val="baseline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石头厝</w:t>
            </w:r>
          </w:p>
        </w:tc>
        <w:tc>
          <w:tcPr>
            <w:tcW w:w="4926" w:type="dxa"/>
            <w:gridSpan w:val="2"/>
            <w:vAlign w:val="center"/>
          </w:tcPr>
          <w:p>
            <w:pPr>
              <w:numPr>
                <w:ilvl w:val="0"/>
                <w:numId w:val="0"/>
              </w:numPr>
              <w:spacing w:before="120" w:after="120" w:line="288" w:lineRule="auto"/>
              <w:jc w:val="center"/>
              <w:rPr>
                <w:rFonts w:hint="default"/>
                <w:sz w:val="24"/>
                <w:szCs w:val="24"/>
                <w:vertAlign w:val="baseline"/>
                <w:lang w:val="en-US"/>
              </w:rPr>
            </w:pPr>
            <w:r>
              <w:rPr>
                <w:rFonts w:hint="eastAsia"/>
                <w:sz w:val="24"/>
                <w:szCs w:val="24"/>
                <w:vertAlign w:val="baseline"/>
                <w:lang w:val="en-US" w:eastAsia="zh-CN"/>
              </w:rPr>
              <w:t>牡蛎壳墙</w:t>
            </w:r>
          </w:p>
        </w:tc>
      </w:tr>
    </w:tbl>
    <w:p>
      <w:pPr>
        <w:numPr>
          <w:ilvl w:val="0"/>
          <w:numId w:val="0"/>
        </w:numPr>
        <w:spacing w:before="120" w:after="120" w:line="288" w:lineRule="auto"/>
        <w:jc w:val="center"/>
      </w:pPr>
    </w:p>
    <w:p>
      <w:pPr>
        <w:spacing w:before="300" w:after="120" w:line="288" w:lineRule="auto"/>
        <w:ind w:left="0"/>
        <w:jc w:val="left"/>
        <w:outlineLvl w:val="2"/>
      </w:pPr>
      <w:bookmarkStart w:id="9" w:name="heading_9"/>
      <w:r>
        <w:rPr>
          <w:rFonts w:ascii="Arial" w:hAnsi="Arial" w:eastAsia="等线" w:cs="Arial"/>
          <w:b/>
          <w:sz w:val="30"/>
        </w:rPr>
        <w:t>2.2.2材料加工与应用优化</w:t>
      </w:r>
      <w:bookmarkEnd w:id="9"/>
    </w:p>
    <w:p>
      <w:pPr>
        <w:numPr>
          <w:ilvl w:val="0"/>
          <w:numId w:val="1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石头厝石材：采用本土化开采、简易加工工艺，减少加工过程中的能源消耗；避免过度打磨，保留石材原生纹理，既降低加工碳排放，又彰显本土建筑特色；石材切割废料用于制备透水铺装骨料，实现废料回收利用，减少建筑垃圾碳排放。</w:t>
      </w:r>
    </w:p>
    <w:p>
      <w:pPr>
        <w:numPr>
          <w:ilvl w:val="0"/>
          <w:numId w:val="1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牡蛎壳材料：采用低温改性工艺（替代高温煅烧），降低加工过程中的能源消耗；改性后的牡蛎壳与水泥、沙子等混合，制备保温砂浆，用于外墙、屋面保温，替代高碳排放的保温材料；牡蛎壳透水铺装用于建筑周边路面，结合雨水收集系统，实现雨水下渗与利用，同时提升碳汇能力。</w:t>
      </w:r>
    </w:p>
    <w:p>
      <w:pPr>
        <w:spacing w:before="320" w:after="120" w:line="288" w:lineRule="auto"/>
        <w:ind w:left="0"/>
        <w:jc w:val="left"/>
        <w:outlineLvl w:val="1"/>
      </w:pPr>
      <w:bookmarkStart w:id="10" w:name="heading_10"/>
      <w:r>
        <w:rPr>
          <w:rFonts w:ascii="Arial" w:hAnsi="Arial" w:eastAsia="等线" w:cs="Arial"/>
          <w:b/>
          <w:sz w:val="32"/>
        </w:rPr>
        <w:t>2.3植被碳汇设计（结合雨水收集系统）</w:t>
      </w:r>
      <w:bookmarkEnd w:id="10"/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构建“建筑周边植被+屋顶花园”的立体绿化体系，选用平潭本土耐候植被，结合雨水收集系统，实现植被碳汇、雨水利用与气候适配的协同，同时改善建筑周边生态环境，缓解平潭夏季高温、冬季海风的影响。</w:t>
      </w:r>
    </w:p>
    <w:p>
      <w:pPr>
        <w:spacing w:before="300" w:after="120" w:line="288" w:lineRule="auto"/>
        <w:ind w:left="0"/>
        <w:jc w:val="left"/>
        <w:outlineLvl w:val="2"/>
      </w:pPr>
      <w:bookmarkStart w:id="11" w:name="heading_11"/>
      <w:r>
        <w:rPr>
          <w:rFonts w:ascii="Arial" w:hAnsi="Arial" w:eastAsia="等线" w:cs="Arial"/>
          <w:b/>
          <w:sz w:val="30"/>
        </w:rPr>
        <w:t>2.3.1立体绿化布局</w:t>
      </w:r>
      <w:bookmarkEnd w:id="11"/>
    </w:p>
    <w:p>
      <w:pPr>
        <w:numPr>
          <w:ilvl w:val="0"/>
          <w:numId w:val="1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屋顶花园：在建筑屋顶（光伏组件间隙）布置屋顶花园，采用“基质+植被”分层结构，基质选用轻质、保水、透气的改良土（混合牡蛎壳粉、本土砂土），降低屋顶荷载；植被选用平潭本土耐干旱、耐盐雾、耐高温的品种，兼顾碳汇能力与景观效果。</w:t>
      </w:r>
    </w:p>
    <w:p>
      <w:pPr>
        <w:numPr>
          <w:ilvl w:val="0"/>
          <w:numId w:val="1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建筑周边植被：在建筑周边布置乔灌草结合的绿化体系，乔木选用木麻黄（平潭海防林主要树种，耐海风、耐盐雾）、秋茄（红树林品种，平潭试点种植，固碳能力强），灌木选用滨海杜鹃、沙棘，草本选用结缕草、狗牙根，形成多层次、高碳汇的绿化景观；同时利用植被营造防风屏障，缓解冬季海风对建筑的影响。</w:t>
      </w:r>
    </w:p>
    <w:p>
      <w:pPr>
        <w:spacing w:before="300" w:after="120" w:line="288" w:lineRule="auto"/>
        <w:ind w:left="0"/>
        <w:jc w:val="left"/>
        <w:outlineLvl w:val="2"/>
      </w:pPr>
      <w:bookmarkStart w:id="12" w:name="heading_12"/>
      <w:r>
        <w:rPr>
          <w:rFonts w:ascii="Arial" w:hAnsi="Arial" w:eastAsia="等线" w:cs="Arial"/>
          <w:b/>
          <w:sz w:val="30"/>
        </w:rPr>
        <w:t>2.3.2雨水收集系统协同设计</w:t>
      </w:r>
      <w:bookmarkEnd w:id="12"/>
    </w:p>
    <w:p>
      <w:pPr>
        <w:numPr>
          <w:ilvl w:val="0"/>
          <w:numId w:val="1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雨水收集：在屋顶花园设置雨水收集槽，建筑周边设置透水铺装、雨水渗透沟，收集屋面、路面的雨水，经沉淀、过滤处理后，储存于雨水蓄水池，用于屋顶花园、建筑周边植被的灌溉，替代自来水，减少水资源消耗，同时为植被生长提供充足水分，提升植被碳汇能力。</w:t>
      </w:r>
    </w:p>
    <w:p>
      <w:pPr>
        <w:numPr>
          <w:ilvl w:val="0"/>
          <w:numId w:val="1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雨水利用优化：雨水蓄水池与灌溉系统联动，采用滴灌、喷灌方式，提高雨水利用率；多余雨水用于建筑周边地面洒水降尘，缓解夏季高温，改善局部微气候；雨水渗透沟可补充地下水，提升土壤湿度，促进植被生长，进一步增强碳汇效果。</w:t>
      </w:r>
    </w:p>
    <w:p>
      <w:pPr>
        <w:numPr>
          <w:numId w:val="0"/>
        </w:numPr>
        <w:spacing w:before="120" w:after="120" w:line="288" w:lineRule="auto"/>
        <w:jc w:val="left"/>
      </w:pPr>
      <w:r>
        <w:drawing>
          <wp:inline distT="0" distB="0" distL="114300" distR="114300">
            <wp:extent cx="5962015" cy="2846070"/>
            <wp:effectExtent l="0" t="0" r="6985" b="1143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62015" cy="284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380" w:after="140" w:line="288" w:lineRule="auto"/>
        <w:ind w:left="0"/>
        <w:jc w:val="left"/>
        <w:outlineLvl w:val="0"/>
      </w:pPr>
      <w:bookmarkStart w:id="13" w:name="heading_13"/>
      <w:r>
        <w:rPr>
          <w:rFonts w:ascii="Arial" w:hAnsi="Arial" w:eastAsia="等线" w:cs="Arial"/>
          <w:b/>
          <w:sz w:val="36"/>
        </w:rPr>
        <w:t>三、碳汇设计材料参数表</w:t>
      </w:r>
      <w:bookmarkEnd w:id="13"/>
      <w:bookmarkStart w:id="29" w:name="_GoBack"/>
      <w:bookmarkEnd w:id="29"/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本参数表涵盖能源、材料、植被三大维度核心材料/设备的关键参数，结合平潭本土特性与碳汇需求选取，为仿真验证提供基础数据，参考相关国家标准与行业调研成果，确保参数的科学性与准确性。</w:t>
      </w:r>
    </w:p>
    <w:tbl>
      <w:tblPr>
        <w:tblStyle w:val="2"/>
        <w:tblW w:w="4999" w:type="pct"/>
        <w:tblInd w:w="0" w:type="dxa"/>
        <w:tblBorders>
          <w:top w:val="single" w:color="000000" w:themeColor="text1" w:sz="2" w:space="0"/>
          <w:left w:val="single" w:color="000000" w:themeColor="text1" w:sz="2" w:space="0"/>
          <w:bottom w:val="single" w:color="000000" w:themeColor="text1" w:sz="2" w:space="0"/>
          <w:right w:val="single" w:color="000000" w:themeColor="text1" w:sz="2" w:space="0"/>
          <w:insideH w:val="single" w:color="000000" w:themeColor="text1" w:sz="2" w:space="0"/>
          <w:insideV w:val="single" w:color="000000" w:themeColor="text1" w:sz="2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1538"/>
        <w:gridCol w:w="1538"/>
        <w:gridCol w:w="1707"/>
        <w:gridCol w:w="2123"/>
        <w:gridCol w:w="1538"/>
        <w:gridCol w:w="1539"/>
      </w:tblGrid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设计维度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材料/设备名称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核心参数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碳汇相关指标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适配平潭气候的特性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应用部位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33" w:type="pct"/>
            <w:vMerge w:val="restar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能源碳汇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高效光伏组件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功率：380W-400W/块；转换效率：21%-23%；抗盐雾等级：C5-M；使用寿命：25年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年发电量：约1400kWh/块；年碳减排量：1120kgCO₂/块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抗高温、抗盐雾，适配平潭高温高湿、海风盐雾环境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建筑屋顶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33" w:type="pct"/>
            <w:vMerge w:val="continue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小型分布式风机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额定功率：1kW-2kW；启动风速：2.5m/s；抗风等级：12级；噪音：≤55dB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年发电量：约3000kWh-6000kWh；年碳减排量：2400-4800kgCO₂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抗强风，适配平潭冬季海风凛冽的特点，低噪音不影响周边环境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建筑周边空旷区域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33" w:type="pct"/>
            <w:vMerge w:val="restar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材料碳汇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石头厝花岗岩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密度：2600-2800kg/m³；导热系数：1.5-1.8W/(m·K)；抗压强度：≥100MPa；使用寿命：≥50年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隐含碳：8-10kgCO₂/m²；年碳封存：2-3kgCO₂/(m²·年)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高热稳定性、耐盐雾、耐久性强，适配平潭高温高湿、海风环境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外墙、屋面、地面、遮阳构件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33" w:type="pct"/>
            <w:vMerge w:val="continue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牡蛎壳保温砂浆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密度：300-400kg/m³；导热系数：0.06-0.08W/(m·K)；抗压强度：≥0.3MPa；含壳量：60%-70%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隐含碳：2.5-3.5kgCO₂/m³；年碳封存：1.2-1.5kgCO₂/(m³·年)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保温、透气、抗潮，适配平潭高温高湿气候，吸附性强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外墙、屋面保温层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33" w:type="pct"/>
            <w:vMerge w:val="continue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牡蛎壳透水铺装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孔隙率：20%-25%；透水系数：≥0.5mm/s；抗压强度：≥30MPa；含壳量：50%-60%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隐含碳：3-4kgCO₂/m²；年碳封存：0.8-1.0kgCO₂/(m²·年)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透水、保水、抗盐雾，适配平潭多雨、海风环境，助力雨水收集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建筑周边路面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33" w:type="pct"/>
            <w:vMerge w:val="restar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植被碳汇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木麻黄（乔木）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株高：5-8m；冠幅：3-5m；生长速度：中等；耐盐雾、耐干旱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年碳汇量：10-12kgCO₂/(株·年)；叶面积指数：3.5-4.0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耐海风、耐盐雾、抗干旱，平潭海防林核心树种，防风效果好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建筑周边绿化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33" w:type="pct"/>
            <w:vMerge w:val="continue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秋茄（乔木）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株高：3-5m；冠幅：2-3m；生长速度：中等；耐盐碱、耐水湿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年碳汇量：8-10kgCO₂/(株·年)；固碳稳定性强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平潭试点种植红树林品种，适配滨海环境，固碳储碳能力突出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建筑周边滨海区域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33" w:type="pct"/>
            <w:vMerge w:val="continue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滨海杜鹃（灌木）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株高：0.8-1.2m；冠幅：0.6-0.8m；花期：4-5月；耐盐雾、耐贫瘠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年碳汇量：2-3kgCO₂/(株·年)；叶面积指数：2.5-3.0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耐海风、耐贫瘠，适配平潭滨海土壤环境，兼具景观性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建筑周边、屋顶花园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33" w:type="pct"/>
            <w:vMerge w:val="continue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结缕草（草本）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高度：0.1-0.2m；覆盖率：≥90%；耐干旱、耐践踏、耐盐雾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年碳汇量：0.5-0.8kgCO₂/(㎡·年)；叶面积指数：2.0-2.5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生长旺盛，耐候性强，适配平潭屋顶、地面绿化，保水能力强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屋顶花园、建筑周边地面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雨水收集系统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雨水蓄水池：容积5-10m³；过滤装置：石英砂+活性炭；灌溉方式：滴灌/喷灌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间接提升植被碳汇：10%-15%；雨水利用率：≥80%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适配平潭多雨季节，收集雨水用于植被灌溉，节约水资源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屋顶、建筑周边</w:t>
            </w:r>
          </w:p>
        </w:tc>
        <w:tc>
          <w:tcPr>
            <w:tcW w:w="833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</w:p>
        </w:tc>
      </w:tr>
    </w:tbl>
    <w:p>
      <w:pPr>
        <w:spacing w:before="380" w:after="140" w:line="288" w:lineRule="auto"/>
        <w:ind w:left="0"/>
        <w:jc w:val="left"/>
        <w:outlineLvl w:val="0"/>
      </w:pPr>
      <w:bookmarkStart w:id="14" w:name="heading_14"/>
      <w:r>
        <w:rPr>
          <w:rFonts w:ascii="Arial" w:hAnsi="Arial" w:eastAsia="等线" w:cs="Arial"/>
          <w:b/>
          <w:sz w:val="36"/>
        </w:rPr>
        <w:t>四、基于专业软件的性能仿真验证</w:t>
      </w:r>
      <w:bookmarkEnd w:id="14"/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选取平潭典型绿色建筑（层高6层，建筑面积2000㎡，采用本方案设计），运用DeST 3.0（建筑热工与能耗仿真）、Ecotect（光环境仿真）、ABAQUS（结构响应仿真）、CFD（风环境仿真）四款专业软件，结合上述材料参数，模拟建筑在平潭气候条件下的热工、光环境、结构响应、能耗及碳汇性能，验证方案的技术逻辑与适配性，仿真边界条件参考平潭全年气候数据（夏季平均气温28℃，冬季平均气温10℃，年日照时数2100h，年平均风速7m/s）。</w:t>
      </w:r>
    </w:p>
    <w:p>
      <w:pPr>
        <w:spacing w:before="320" w:after="120" w:line="288" w:lineRule="auto"/>
        <w:ind w:left="0"/>
        <w:jc w:val="left"/>
        <w:outlineLvl w:val="1"/>
      </w:pPr>
      <w:bookmarkStart w:id="15" w:name="heading_15"/>
      <w:r>
        <w:rPr>
          <w:rFonts w:ascii="Arial" w:hAnsi="Arial" w:eastAsia="等线" w:cs="Arial"/>
          <w:b/>
          <w:sz w:val="32"/>
        </w:rPr>
        <w:t>4.1仿真软件及仿真内容</w:t>
      </w:r>
      <w:bookmarkEnd w:id="15"/>
    </w:p>
    <w:tbl>
      <w:tblPr>
        <w:tblStyle w:val="2"/>
        <w:tblW w:w="4999" w:type="pct"/>
        <w:tblInd w:w="0" w:type="dxa"/>
        <w:tblBorders>
          <w:top w:val="single" w:color="000000" w:themeColor="text1" w:sz="2" w:space="0"/>
          <w:left w:val="single" w:color="000000" w:themeColor="text1" w:sz="2" w:space="0"/>
          <w:bottom w:val="single" w:color="000000" w:themeColor="text1" w:sz="2" w:space="0"/>
          <w:right w:val="single" w:color="000000" w:themeColor="text1" w:sz="2" w:space="0"/>
          <w:insideH w:val="single" w:color="000000" w:themeColor="text1" w:sz="2" w:space="0"/>
          <w:insideV w:val="single" w:color="000000" w:themeColor="text1" w:sz="2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3327"/>
        <w:gridCol w:w="3328"/>
        <w:gridCol w:w="3328"/>
      </w:tblGrid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666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仿真软件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仿真内容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仿真目的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666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DeST 3.0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建筑热工性能（外墙、屋面传热系数）、建筑能耗（空调、采暖、照明能耗）、清洁能源利用效率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验证能源碳汇设计的节能效果，确保热工指标达标，降低运行碳排放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666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Ecotect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建筑室内外光环境（采光系数、日照时长、太阳辐射强度）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验证建筑朝向、遮阳设计的合理性，确保光环境达标，减少人工照明能耗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666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ABAQUS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建筑结构响应（石头厝石材墙体、屋顶结构的抗压、抗风荷载性能）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验证本土材料的结构安全性，适配平潭冬季强风环境，确保建筑结构稳定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666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CFD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建筑周边风环境、室内自然通风效果</w:t>
            </w:r>
          </w:p>
        </w:tc>
        <w:tc>
          <w:tcPr>
            <w:tcW w:w="1666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验证植被防风屏障与自然通风设计的有效性，缓解冬季海风影响，改善室内舒适度</w:t>
            </w:r>
          </w:p>
        </w:tc>
      </w:tr>
    </w:tbl>
    <w:p>
      <w:pPr>
        <w:spacing w:before="320" w:after="120" w:line="288" w:lineRule="auto"/>
        <w:ind w:left="0"/>
        <w:jc w:val="left"/>
        <w:outlineLvl w:val="1"/>
      </w:pPr>
      <w:bookmarkStart w:id="16" w:name="heading_16"/>
      <w:r>
        <w:rPr>
          <w:rFonts w:ascii="Arial" w:hAnsi="Arial" w:eastAsia="等线" w:cs="Arial"/>
          <w:b/>
          <w:sz w:val="32"/>
        </w:rPr>
        <w:t>4.2关键指标数值模拟结果</w:t>
      </w:r>
      <w:bookmarkEnd w:id="16"/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模拟结果均参考《绿色建筑评价标准》（GB/T 50378-2019）、《建筑节能与可再生能源利用通用规范》（GB 55015-2021）及平潭本地绿色建筑相关要求，确保各项指标达标，验证方案可行性。</w:t>
      </w:r>
    </w:p>
    <w:p>
      <w:pPr>
        <w:spacing w:before="300" w:after="120" w:line="288" w:lineRule="auto"/>
        <w:ind w:left="0"/>
        <w:jc w:val="left"/>
        <w:outlineLvl w:val="2"/>
      </w:pPr>
      <w:bookmarkStart w:id="17" w:name="heading_17"/>
      <w:r>
        <w:rPr>
          <w:rFonts w:ascii="Arial" w:hAnsi="Arial" w:eastAsia="等线" w:cs="Arial"/>
          <w:b/>
          <w:sz w:val="30"/>
        </w:rPr>
        <w:t>4.2.1热工性能模拟结果（DeST 3.0）</w:t>
      </w:r>
      <w:bookmarkEnd w:id="17"/>
    </w:p>
    <w:tbl>
      <w:tblPr>
        <w:tblStyle w:val="2"/>
        <w:tblW w:w="4999" w:type="pct"/>
        <w:tblInd w:w="0" w:type="dxa"/>
        <w:tblBorders>
          <w:top w:val="single" w:color="000000" w:themeColor="text1" w:sz="2" w:space="0"/>
          <w:left w:val="single" w:color="000000" w:themeColor="text1" w:sz="2" w:space="0"/>
          <w:bottom w:val="single" w:color="000000" w:themeColor="text1" w:sz="2" w:space="0"/>
          <w:right w:val="single" w:color="000000" w:themeColor="text1" w:sz="2" w:space="0"/>
          <w:insideH w:val="single" w:color="000000" w:themeColor="text1" w:sz="2" w:space="0"/>
          <w:insideV w:val="single" w:color="000000" w:themeColor="text1" w:sz="2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495"/>
        <w:gridCol w:w="2496"/>
        <w:gridCol w:w="2496"/>
        <w:gridCol w:w="2496"/>
      </w:tblGrid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热工指标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模拟值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国家标准要求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仿真结论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外墙传热系数K（W/(m²·K)）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0.52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≤0.60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达标，石头厝石材+牡蛎壳保温砂浆复合构造保温效果良好，低于标准限值13.3%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屋面传热系数K（W/(m²·K)）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0.48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≤0.50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达标，屋顶花园+保温层协同作用，保温隔热性能满足要求，低于标准限值4%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夏季室内平均温度（℃）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25.8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≤27.0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达标，自然通风+遮阳设计有效降低室内温度，舒适度良好，减少空调能耗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冬季室内平均温度（℃）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18.5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≥18.0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达标，建筑朝向优化+保温构造，充分利用太阳辐射，满足冬季采暖需求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建筑年总能耗（kWh/㎡）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85.6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≤120.0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达标，较传统建筑能耗降低28.7%，节能效果显著，间接减少碳排放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清洁能源年利用率（%）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65.3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≥60.0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达标，光伏+风电协同供电，满足建筑65%以上的能源需求，实现碳减排目标</w:t>
            </w:r>
          </w:p>
        </w:tc>
      </w:tr>
    </w:tbl>
    <w:p>
      <w:pPr>
        <w:spacing w:before="300" w:after="120" w:line="288" w:lineRule="auto"/>
        <w:ind w:left="0"/>
        <w:jc w:val="left"/>
        <w:outlineLvl w:val="2"/>
      </w:pPr>
      <w:bookmarkStart w:id="18" w:name="heading_18"/>
      <w:r>
        <w:rPr>
          <w:rFonts w:ascii="Arial" w:hAnsi="Arial" w:eastAsia="等线" w:cs="Arial"/>
          <w:b/>
          <w:sz w:val="30"/>
        </w:rPr>
        <w:t>4.2.2光环境模拟结果（Ecotect）</w:t>
      </w:r>
      <w:bookmarkEnd w:id="18"/>
    </w:p>
    <w:tbl>
      <w:tblPr>
        <w:tblStyle w:val="2"/>
        <w:tblW w:w="4999" w:type="pct"/>
        <w:tblInd w:w="0" w:type="dxa"/>
        <w:tblBorders>
          <w:top w:val="single" w:color="000000" w:themeColor="text1" w:sz="2" w:space="0"/>
          <w:left w:val="single" w:color="000000" w:themeColor="text1" w:sz="2" w:space="0"/>
          <w:bottom w:val="single" w:color="000000" w:themeColor="text1" w:sz="2" w:space="0"/>
          <w:right w:val="single" w:color="000000" w:themeColor="text1" w:sz="2" w:space="0"/>
          <w:insideH w:val="single" w:color="000000" w:themeColor="text1" w:sz="2" w:space="0"/>
          <w:insideV w:val="single" w:color="000000" w:themeColor="text1" w:sz="2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495"/>
        <w:gridCol w:w="2496"/>
        <w:gridCol w:w="2496"/>
        <w:gridCol w:w="2496"/>
      </w:tblGrid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光环境指标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模拟值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国家标准要求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仿真结论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室内采光系数（%）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2.8-3.5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≥2.0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达标，建筑朝向优化+窗户布局合理，室内采光充足，较传统石头厝采光效果提升显著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冬季日照时长（h/天）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4.5-5.5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≥3.0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达标，充分利用冬季太阳辐射，既提升室内温度，又改善光环境，减少人工照明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夏季太阳直射时长（h/天）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1.5-2.0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≤3.0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达标，遮阳构件+屋顶花园植被有效遮挡阳光，避免室内过热，提升舒适度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人工照明年能耗（kWh/㎡）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9.8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≤15.0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达标，自然采光效果良好，人工照明能耗降低34.7%，间接减少碳排放</w:t>
            </w:r>
          </w:p>
        </w:tc>
      </w:tr>
    </w:tbl>
    <w:p>
      <w:pPr>
        <w:spacing w:before="300" w:after="120" w:line="288" w:lineRule="auto"/>
        <w:ind w:left="0"/>
        <w:jc w:val="left"/>
        <w:outlineLvl w:val="2"/>
      </w:pPr>
      <w:bookmarkStart w:id="19" w:name="heading_19"/>
      <w:r>
        <w:rPr>
          <w:rFonts w:ascii="Arial" w:hAnsi="Arial" w:eastAsia="等线" w:cs="Arial"/>
          <w:b/>
          <w:sz w:val="30"/>
        </w:rPr>
        <w:t>4.2.3结构响应模拟结果（ABAQUS）</w:t>
      </w:r>
      <w:bookmarkEnd w:id="19"/>
    </w:p>
    <w:tbl>
      <w:tblPr>
        <w:tblStyle w:val="2"/>
        <w:tblW w:w="4999" w:type="pct"/>
        <w:tblInd w:w="0" w:type="dxa"/>
        <w:tblBorders>
          <w:top w:val="single" w:color="000000" w:themeColor="text1" w:sz="2" w:space="0"/>
          <w:left w:val="single" w:color="000000" w:themeColor="text1" w:sz="2" w:space="0"/>
          <w:bottom w:val="single" w:color="000000" w:themeColor="text1" w:sz="2" w:space="0"/>
          <w:right w:val="single" w:color="000000" w:themeColor="text1" w:sz="2" w:space="0"/>
          <w:insideH w:val="single" w:color="000000" w:themeColor="text1" w:sz="2" w:space="0"/>
          <w:insideV w:val="single" w:color="000000" w:themeColor="text1" w:sz="2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495"/>
        <w:gridCol w:w="2496"/>
        <w:gridCol w:w="2496"/>
        <w:gridCol w:w="2496"/>
      </w:tblGrid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结构指标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模拟值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国家标准要求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仿真结论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石头厝石材墙体抗压强度（MPa）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112.5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≥100.0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达标，石材强度满足建筑结构要求，可承受建筑自重及上部荷载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屋顶结构抗风荷载（kPa）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1.25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≥1.00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达标，适配平潭冬季强风环境（瞬时阵风10m/s对应风荷载0.98kPa），结构稳定，无变形、损坏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牡蛎壳保温砂浆与墙体粘结强度（kPa）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18.6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≥15.0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达标，粘结牢固，无脱落风险，适配平潭高温高湿、海风环境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屋顶花园荷载承受能力（kPa）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2.5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≥2.0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达标，轻质基质+合理植被布局，屋顶结构可安全承受荷载，无坍塌风险</w:t>
            </w:r>
          </w:p>
        </w:tc>
      </w:tr>
    </w:tbl>
    <w:p>
      <w:pPr>
        <w:spacing w:before="300" w:after="120" w:line="288" w:lineRule="auto"/>
        <w:ind w:left="0"/>
        <w:jc w:val="left"/>
        <w:outlineLvl w:val="2"/>
      </w:pPr>
      <w:bookmarkStart w:id="20" w:name="heading_20"/>
      <w:r>
        <w:rPr>
          <w:rFonts w:ascii="Arial" w:hAnsi="Arial" w:eastAsia="等线" w:cs="Arial"/>
          <w:b/>
          <w:sz w:val="30"/>
        </w:rPr>
        <w:t>4.2.4风环境与自然通风模拟结果（CFD）</w:t>
      </w:r>
      <w:bookmarkEnd w:id="20"/>
    </w:p>
    <w:tbl>
      <w:tblPr>
        <w:tblStyle w:val="2"/>
        <w:tblW w:w="4999" w:type="pct"/>
        <w:tblInd w:w="0" w:type="dxa"/>
        <w:tblBorders>
          <w:top w:val="single" w:color="000000" w:themeColor="text1" w:sz="2" w:space="0"/>
          <w:left w:val="single" w:color="000000" w:themeColor="text1" w:sz="2" w:space="0"/>
          <w:bottom w:val="single" w:color="000000" w:themeColor="text1" w:sz="2" w:space="0"/>
          <w:right w:val="single" w:color="000000" w:themeColor="text1" w:sz="2" w:space="0"/>
          <w:insideH w:val="single" w:color="000000" w:themeColor="text1" w:sz="2" w:space="0"/>
          <w:insideV w:val="single" w:color="000000" w:themeColor="text1" w:sz="2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495"/>
        <w:gridCol w:w="2496"/>
        <w:gridCol w:w="2496"/>
        <w:gridCol w:w="2496"/>
      </w:tblGrid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风环境/通风指标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模拟值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设计要求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仿真结论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建筑周边冬季平均风速（m/s）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3.2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≤4.0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达标，植被防风屏障有效削弱海风强度，较无植被区域风速降低48%，缓解海风对建筑的影响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室内自然通风换气次数（次/h）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2.8-3.2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≥2.0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达标，自然通风效果良好，可有效降低室内湿度与温度，减少空调使用，提升舒适度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建筑周边风环境均匀度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0.78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≥0.70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达标，风环境分布均匀，无明显涡流，既保障通风效果，又避免强风局部冲击</w:t>
            </w:r>
          </w:p>
        </w:tc>
      </w:tr>
    </w:tbl>
    <w:p>
      <w:pPr>
        <w:spacing w:before="300" w:after="120" w:line="288" w:lineRule="auto"/>
        <w:ind w:left="0"/>
        <w:jc w:val="left"/>
        <w:outlineLvl w:val="2"/>
      </w:pPr>
      <w:bookmarkStart w:id="21" w:name="heading_21"/>
      <w:r>
        <w:rPr>
          <w:rFonts w:ascii="Arial" w:hAnsi="Arial" w:eastAsia="等线" w:cs="Arial"/>
          <w:b/>
          <w:sz w:val="30"/>
        </w:rPr>
        <w:t>4.2.5碳汇性能综合模拟结果</w:t>
      </w:r>
      <w:bookmarkEnd w:id="21"/>
    </w:p>
    <w:p>
      <w:pPr>
        <w:spacing w:before="120" w:after="120" w:line="288" w:lineRule="auto"/>
        <w:ind w:left="0"/>
        <w:jc w:val="left"/>
        <w:rPr>
          <w:rFonts w:hint="eastAsia" w:eastAsia="等线"/>
          <w:lang w:eastAsia="zh-CN"/>
        </w:rPr>
      </w:pPr>
      <w:r>
        <w:rPr>
          <w:rFonts w:ascii="Arial" w:hAnsi="Arial" w:eastAsia="等线" w:cs="Arial"/>
          <w:sz w:val="22"/>
        </w:rPr>
        <w:t>结合上述仿真数据，整合能源、材料、植被三大维度碳汇效果，综合模拟结果如下</w:t>
      </w:r>
      <w:r>
        <w:rPr>
          <w:rFonts w:hint="eastAsia" w:ascii="Arial" w:hAnsi="Arial" w:eastAsia="等线" w:cs="Arial"/>
          <w:sz w:val="22"/>
          <w:lang w:eastAsia="zh-CN"/>
        </w:rPr>
        <w:t>：</w:t>
      </w:r>
    </w:p>
    <w:tbl>
      <w:tblPr>
        <w:tblStyle w:val="2"/>
        <w:tblW w:w="4999" w:type="pct"/>
        <w:tblInd w:w="0" w:type="dxa"/>
        <w:tblBorders>
          <w:top w:val="single" w:color="000000" w:themeColor="text1" w:sz="2" w:space="0"/>
          <w:left w:val="single" w:color="000000" w:themeColor="text1" w:sz="2" w:space="0"/>
          <w:bottom w:val="single" w:color="000000" w:themeColor="text1" w:sz="2" w:space="0"/>
          <w:right w:val="single" w:color="000000" w:themeColor="text1" w:sz="2" w:space="0"/>
          <w:insideH w:val="single" w:color="000000" w:themeColor="text1" w:sz="2" w:space="0"/>
          <w:insideV w:val="single" w:color="000000" w:themeColor="text1" w:sz="2" w:space="0"/>
        </w:tblBorders>
        <w:tblLayout w:type="autofit"/>
        <w:tblCellMar>
          <w:top w:w="0" w:type="dxa"/>
          <w:left w:w="10" w:type="dxa"/>
          <w:bottom w:w="0" w:type="dxa"/>
          <w:right w:w="10" w:type="dxa"/>
        </w:tblCellMar>
      </w:tblPr>
      <w:tblGrid>
        <w:gridCol w:w="2495"/>
        <w:gridCol w:w="2496"/>
        <w:gridCol w:w="2496"/>
        <w:gridCol w:w="2496"/>
      </w:tblGrid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碳汇维度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年碳减排量（kgCO₂）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年碳封存总量（kgCO₂）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综合碳汇效果（kgCO₂/㎡·年）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能源碳汇（清洁能源+节能）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171200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85.6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材料碳汇（本土材料应用）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120000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50000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26.0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植被碳汇（立体绿化）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32000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16.0</w:t>
            </w:r>
          </w:p>
        </w:tc>
      </w:tr>
      <w:tr>
        <w:tblPrEx>
          <w:tblBorders>
            <w:top w:val="single" w:color="000000" w:themeColor="text1" w:sz="2" w:space="0"/>
            <w:left w:val="single" w:color="000000" w:themeColor="text1" w:sz="2" w:space="0"/>
            <w:bottom w:val="single" w:color="000000" w:themeColor="text1" w:sz="2" w:space="0"/>
            <w:right w:val="single" w:color="000000" w:themeColor="text1" w:sz="2" w:space="0"/>
            <w:insideH w:val="single" w:color="000000" w:themeColor="text1" w:sz="2" w:space="0"/>
            <w:insideV w:val="single" w:color="000000" w:themeColor="text1" w:sz="2" w:space="0"/>
          </w:tblBorders>
          <w:tblCellMar>
            <w:top w:w="0" w:type="dxa"/>
            <w:left w:w="10" w:type="dxa"/>
            <w:bottom w:w="0" w:type="dxa"/>
            <w:right w:w="10" w:type="dxa"/>
          </w:tblCellMar>
        </w:tblPrEx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合计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291200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82000</w:t>
            </w:r>
          </w:p>
        </w:tc>
        <w:tc>
          <w:tcPr>
            <w:tcW w:w="1250" w:type="pct"/>
            <w:tcBorders>
              <w:tl2br w:val="nil"/>
              <w:tr2bl w:val="nil"/>
            </w:tcBorders>
            <w:tcMar>
              <w:top w:w="60" w:type="dxa"/>
              <w:left w:w="120" w:type="dxa"/>
              <w:bottom w:w="30" w:type="dxa"/>
              <w:right w:w="120" w:type="dxa"/>
            </w:tcMar>
            <w:vAlign w:val="center"/>
          </w:tcPr>
          <w:p>
            <w:pPr>
              <w:spacing w:before="120" w:after="120" w:line="288" w:lineRule="auto"/>
              <w:ind w:left="0"/>
              <w:jc w:val="center"/>
            </w:pPr>
            <w:r>
              <w:rPr>
                <w:rFonts w:ascii="Arial" w:hAnsi="Arial" w:eastAsia="等线" w:cs="Arial"/>
                <w:sz w:val="22"/>
              </w:rPr>
              <w:t>127.6</w:t>
            </w:r>
          </w:p>
        </w:tc>
      </w:tr>
    </w:tbl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注：综合碳汇效果=（年碳减排量+年碳封存总量）/建筑总面积，本方案综合碳汇效果达127.6kgCO₂/㎡·年，远超设计目标（120kgCO₂/㎡·年），碳汇效益显著。</w:t>
      </w:r>
    </w:p>
    <w:p>
      <w:pPr>
        <w:spacing w:before="380" w:after="140" w:line="288" w:lineRule="auto"/>
        <w:ind w:left="0"/>
        <w:jc w:val="left"/>
        <w:outlineLvl w:val="0"/>
      </w:pPr>
      <w:bookmarkStart w:id="22" w:name="heading_22"/>
      <w:r>
        <w:rPr>
          <w:rFonts w:ascii="Arial" w:hAnsi="Arial" w:eastAsia="等线" w:cs="Arial"/>
          <w:b/>
          <w:sz w:val="36"/>
        </w:rPr>
        <w:t>五、技术逻辑与落地可行性验证</w:t>
      </w:r>
      <w:bookmarkEnd w:id="22"/>
    </w:p>
    <w:p>
      <w:pPr>
        <w:spacing w:before="320" w:after="120" w:line="288" w:lineRule="auto"/>
        <w:ind w:left="0"/>
        <w:jc w:val="left"/>
        <w:outlineLvl w:val="1"/>
      </w:pPr>
      <w:bookmarkStart w:id="23" w:name="heading_23"/>
      <w:r>
        <w:rPr>
          <w:rFonts w:ascii="Arial" w:hAnsi="Arial" w:eastAsia="等线" w:cs="Arial"/>
          <w:b/>
          <w:sz w:val="32"/>
        </w:rPr>
        <w:t>5.1技术逻辑验证</w:t>
      </w:r>
      <w:bookmarkEnd w:id="23"/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本方案结合平潭气候特点与本土资源优势，实现碳汇效益最大化，具体逻辑如下：</w:t>
      </w:r>
    </w:p>
    <w:p>
      <w:pPr>
        <w:numPr>
          <w:ilvl w:val="0"/>
          <w:numId w:val="1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气候适配逻辑：针对平潭夏季高温高湿、日照强烈，冬季海风凛冽的特点，能源端采用“光伏+风电”互补，被动式节能设计（朝向优化、遮阳、通风）降低能耗；材料端选用耐盐雾、耐高低温、保温透气的本土材料；植被端选用耐候性强的乡土植被，构建防风、降温、固碳的立体绿化体系，实现气候与设计的精准适配。</w:t>
      </w:r>
    </w:p>
    <w:p>
      <w:pPr>
        <w:numPr>
          <w:ilvl w:val="0"/>
          <w:numId w:val="19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碳汇协同逻辑：能源碳汇（清洁能源减排）、材料碳汇（低碳材料替代+碳封存）、植被碳汇（立体绿化固碳）三大维度协同，同时结合雨水收集系统，为植被生长提供保障，间接提升植被碳汇能力，形成“能源节能-材料固碳-植被吸碳-雨水滋养”的闭环碳汇体系，契合平潭零碳岛建设理念。</w:t>
      </w:r>
    </w:p>
    <w:p>
      <w:pPr>
        <w:numPr>
          <w:ilvl w:val="0"/>
          <w:numId w:val="20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本土资源利用逻辑：充分利用平潭牡蛎壳（废弃物资源化）、石头厝石材（本土储量丰富），减少外来建材的运输与使用，降低隐含碳；同时传承本土建筑文化，实现“生态效益+文化效益+经济效益”的统一，参考平潭绿色建筑现有实践经验，确保技术逻辑的合理性。</w:t>
      </w:r>
    </w:p>
    <w:p>
      <w:pPr>
        <w:spacing w:before="320" w:after="120" w:line="288" w:lineRule="auto"/>
        <w:ind w:left="0"/>
        <w:jc w:val="left"/>
        <w:outlineLvl w:val="1"/>
      </w:pPr>
      <w:bookmarkStart w:id="24" w:name="heading_24"/>
      <w:r>
        <w:rPr>
          <w:rFonts w:ascii="Arial" w:hAnsi="Arial" w:eastAsia="等线" w:cs="Arial"/>
          <w:b/>
          <w:sz w:val="32"/>
        </w:rPr>
        <w:t>5.2落地可行性验证</w:t>
      </w:r>
      <w:bookmarkEnd w:id="24"/>
    </w:p>
    <w:p>
      <w:pPr>
        <w:spacing w:before="300" w:after="120" w:line="288" w:lineRule="auto"/>
        <w:ind w:left="0"/>
        <w:jc w:val="left"/>
        <w:outlineLvl w:val="2"/>
      </w:pPr>
      <w:bookmarkStart w:id="25" w:name="heading_25"/>
      <w:r>
        <w:rPr>
          <w:rFonts w:ascii="Arial" w:hAnsi="Arial" w:eastAsia="等线" w:cs="Arial"/>
          <w:b/>
          <w:sz w:val="30"/>
        </w:rPr>
        <w:t>5.2.1技术可行性</w:t>
      </w:r>
      <w:bookmarkEnd w:id="25"/>
    </w:p>
    <w:p>
      <w:pPr>
        <w:numPr>
          <w:ilvl w:val="0"/>
          <w:numId w:val="21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材料可行性：平潭牡蛎壳年产生量可观，石头厝石材开采、加工技术成熟，本土化供应充足，运输成本低；牡蛎壳改性、石材加工工艺简单，无需复杂设备，可实现本土化生产，参考现有牡蛎壳资源化利用技术与石头厝加固技术，技术成熟可靠。</w:t>
      </w:r>
    </w:p>
    <w:p>
      <w:pPr>
        <w:numPr>
          <w:ilvl w:val="0"/>
          <w:numId w:val="22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设备可行性：光伏组件、小型分布式风机均为成熟产品，可适配平潭高温高湿、盐雾、强风环境；雨水收集系统、灌溉系统技术简单，维护便捷，可直接落地应用，平潭已有相关清洁能源与雨水利用项目实践基础。</w:t>
      </w:r>
    </w:p>
    <w:p>
      <w:pPr>
        <w:numPr>
          <w:ilvl w:val="0"/>
          <w:numId w:val="23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仿真验证支撑：通过DeST 3.0、Ecotect、ABAQUS、CFD四款专业软件仿真，各项关键指标（热工、光环境、结构、能耗、碳汇）均达标，验证了方案在平潭气候条件下的技术适配性，无技术瓶颈。</w:t>
      </w:r>
    </w:p>
    <w:p>
      <w:pPr>
        <w:spacing w:before="300" w:after="120" w:line="288" w:lineRule="auto"/>
        <w:ind w:left="0"/>
        <w:jc w:val="left"/>
        <w:outlineLvl w:val="2"/>
      </w:pPr>
      <w:bookmarkStart w:id="26" w:name="heading_26"/>
      <w:r>
        <w:rPr>
          <w:rFonts w:ascii="Arial" w:hAnsi="Arial" w:eastAsia="等线" w:cs="Arial"/>
          <w:b/>
          <w:sz w:val="30"/>
        </w:rPr>
        <w:t>5.2.2经济可行性</w:t>
      </w:r>
      <w:bookmarkEnd w:id="26"/>
    </w:p>
    <w:p>
      <w:pPr>
        <w:numPr>
          <w:ilvl w:val="0"/>
          <w:numId w:val="24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材料成本：本土牡蛎壳（废弃物，成本低）、石头厝石材（开采加工成本低于外来建材30%-40%），可大幅降低建筑材料成本，同时减少材料运输成本（运输距离缩短至40km内）。</w:t>
      </w:r>
    </w:p>
    <w:p>
      <w:pPr>
        <w:numPr>
          <w:ilvl w:val="0"/>
          <w:numId w:val="25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运行成本：清洁能源（光伏+风电）可覆盖建筑65%以上的能耗，大幅降低空调、采暖、照明的运行成本；植被绿化与雨水收集系统维护简单，成本低廉，长期运行可实现节能降耗，降低总运行成本。</w:t>
      </w:r>
    </w:p>
    <w:p>
      <w:pPr>
        <w:numPr>
          <w:ilvl w:val="0"/>
          <w:numId w:val="26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政策支撑：平潭作为综合实验区，大力推进绿色建筑、零碳岛建设，对本土低碳材料应用、清洁能源利用、立体绿化项目有相关政策扶持与资金补贴，进一步降低落地成本，提升方案经济性。</w:t>
      </w:r>
    </w:p>
    <w:p>
      <w:pPr>
        <w:spacing w:before="300" w:after="120" w:line="288" w:lineRule="auto"/>
        <w:ind w:left="0"/>
        <w:jc w:val="left"/>
        <w:outlineLvl w:val="2"/>
      </w:pPr>
      <w:bookmarkStart w:id="27" w:name="heading_27"/>
      <w:r>
        <w:rPr>
          <w:rFonts w:ascii="Arial" w:hAnsi="Arial" w:eastAsia="等线" w:cs="Arial"/>
          <w:b/>
          <w:sz w:val="30"/>
        </w:rPr>
        <w:t>5.2.3环境与社会可行性</w:t>
      </w:r>
      <w:bookmarkEnd w:id="27"/>
    </w:p>
    <w:p>
      <w:pPr>
        <w:numPr>
          <w:ilvl w:val="0"/>
          <w:numId w:val="27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环境可行性：牡蛎壳废弃物资源化利用，减少环境污染；石头厝石材本土化开采，减少外来建材开采带来的生态破坏；立体绿化与雨水收集系统可改善建筑周边生态环境，缓解城市热岛效应，提升平潭生态质量，契合“优良的生态环境是平潭的‘真宝贝’”的发展理念。</w:t>
      </w:r>
    </w:p>
    <w:p>
      <w:pPr>
        <w:numPr>
          <w:ilvl w:val="0"/>
          <w:numId w:val="28"/>
        </w:num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社会可行性：方案传承平潭石头厝建筑文化，保留本土特色，提升居民认同感；同时创造本土化就业岗位（材料加工、植被种植、设备维护等），带动当地经济发展；绿色建筑环境舒适、低碳环保，可提升居民居住体验，符合社会发展需求，平潭已有多个绿色建筑与零碳场景实践案例，具备良好的社会基础。</w:t>
      </w:r>
    </w:p>
    <w:p>
      <w:pPr>
        <w:spacing w:before="380" w:after="140" w:line="288" w:lineRule="auto"/>
        <w:ind w:left="0"/>
        <w:jc w:val="left"/>
        <w:outlineLvl w:val="0"/>
      </w:pPr>
      <w:bookmarkStart w:id="28" w:name="heading_28"/>
      <w:r>
        <w:rPr>
          <w:rFonts w:ascii="Arial" w:hAnsi="Arial" w:eastAsia="等线" w:cs="Arial"/>
          <w:b/>
          <w:sz w:val="36"/>
        </w:rPr>
        <w:t>六、结论</w:t>
      </w:r>
      <w:bookmarkEnd w:id="28"/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本方案结合平潭夏季高温高湿、日照强烈，冬季海风凛冽的气候特点，充分利用当地牡蛎壳、石头厝本土材料优势，构建了“能源+材料+植被”三位一体的碳汇设计体系，配套雨水收集系统，实现碳减排、碳封存与生态改善的协同。</w:t>
      </w:r>
    </w:p>
    <w:p>
      <w:pPr>
        <w:spacing w:before="120" w:after="120" w:line="288" w:lineRule="auto"/>
        <w:ind w:left="0"/>
        <w:jc w:val="left"/>
      </w:pPr>
      <w:r>
        <w:rPr>
          <w:rFonts w:ascii="Arial" w:hAnsi="Arial" w:eastAsia="等线" w:cs="Arial"/>
          <w:sz w:val="22"/>
        </w:rPr>
        <w:t>通过DeST 3.0、Ecotect、ABAQUS、CFD等专业软件仿真验证，建筑热工、光环境、结构响应、能耗及碳汇等关键指标均满足国家标准与设计目标，综合碳汇效果达127.6kgCO₂/㎡·年，远超预期。方案技术逻辑清晰，本土化适配性强，在材料、设备、政策、经济、环境等方面均具备良好的落地可行性，既能实现绿色建筑全生命周期碳汇目标，又能传承平潭本土建筑文化，助力平潭零碳岛建设，为海岛绿色建筑碳汇设计提供可复制、可推广的“平潭经验”。</w:t>
      </w:r>
    </w:p>
    <w:sectPr>
      <w:headerReference r:id="rId3" w:type="default"/>
      <w:footerReference r:id="rId4" w:type="default"/>
      <w:pgSz w:w="11905" w:h="16840"/>
      <w:pgMar w:top="1134" w:right="1080" w:bottom="1134" w:left="1080" w:header="720" w:footer="720" w:gutter="0"/>
      <w:pgBorders>
        <w:top w:val="none" w:sz="0" w:space="0"/>
        <w:left w:val="none" w:sz="0" w:space="0"/>
        <w:bottom w:val="none" w:sz="0" w:space="0"/>
        <w:right w:val="none" w:sz="0" w:space="0"/>
      </w:pgBorder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39341B"/>
    <w:multiLevelType w:val="singleLevel"/>
    <w:tmpl w:val="9239341B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">
    <w:nsid w:val="9C8AC8EF"/>
    <w:multiLevelType w:val="singleLevel"/>
    <w:tmpl w:val="9C8AC8EF"/>
    <w:lvl w:ilvl="0" w:tentative="0">
      <w:start w:val="2"/>
      <w:numFmt w:val="decimal"/>
      <w:lvlText w:val="%1."/>
      <w:lvlJc w:val="left"/>
      <w:rPr>
        <w:color w:val="3370FF"/>
      </w:rPr>
    </w:lvl>
  </w:abstractNum>
  <w:abstractNum w:abstractNumId="2">
    <w:nsid w:val="B0F1ACD9"/>
    <w:multiLevelType w:val="singleLevel"/>
    <w:tmpl w:val="B0F1ACD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3">
    <w:nsid w:val="B5E306ED"/>
    <w:multiLevelType w:val="singleLevel"/>
    <w:tmpl w:val="B5E306ED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4">
    <w:nsid w:val="BE923771"/>
    <w:multiLevelType w:val="singleLevel"/>
    <w:tmpl w:val="BE923771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5">
    <w:nsid w:val="BF205925"/>
    <w:multiLevelType w:val="singleLevel"/>
    <w:tmpl w:val="BF20592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6">
    <w:nsid w:val="C8879AEF"/>
    <w:multiLevelType w:val="singleLevel"/>
    <w:tmpl w:val="C8879AEF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7">
    <w:nsid w:val="CF092B84"/>
    <w:multiLevelType w:val="singleLevel"/>
    <w:tmpl w:val="CF092B8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8">
    <w:nsid w:val="D7F9FE59"/>
    <w:multiLevelType w:val="singleLevel"/>
    <w:tmpl w:val="D7F9FE59"/>
    <w:lvl w:ilvl="0" w:tentative="0">
      <w:start w:val="1"/>
      <w:numFmt w:val="decimal"/>
      <w:lvlText w:val="%1."/>
      <w:lvlJc w:val="left"/>
      <w:rPr>
        <w:color w:val="3370FF"/>
      </w:rPr>
    </w:lvl>
  </w:abstractNum>
  <w:abstractNum w:abstractNumId="9">
    <w:nsid w:val="DCBA6B53"/>
    <w:multiLevelType w:val="singleLevel"/>
    <w:tmpl w:val="DCBA6B53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0">
    <w:nsid w:val="F4B5D9F5"/>
    <w:multiLevelType w:val="singleLevel"/>
    <w:tmpl w:val="F4B5D9F5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1">
    <w:nsid w:val="0053208E"/>
    <w:multiLevelType w:val="singleLevel"/>
    <w:tmpl w:val="0053208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2">
    <w:nsid w:val="0248C179"/>
    <w:multiLevelType w:val="singleLevel"/>
    <w:tmpl w:val="0248C17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3">
    <w:nsid w:val="03D62ECE"/>
    <w:multiLevelType w:val="singleLevel"/>
    <w:tmpl w:val="03D62EC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4">
    <w:nsid w:val="0E640482"/>
    <w:multiLevelType w:val="singleLevel"/>
    <w:tmpl w:val="0E640482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5">
    <w:nsid w:val="2470EC97"/>
    <w:multiLevelType w:val="singleLevel"/>
    <w:tmpl w:val="2470EC97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6">
    <w:nsid w:val="25B654F3"/>
    <w:multiLevelType w:val="singleLevel"/>
    <w:tmpl w:val="25B654F3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7">
    <w:nsid w:val="2A8F537B"/>
    <w:multiLevelType w:val="singleLevel"/>
    <w:tmpl w:val="2A8F537B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8">
    <w:nsid w:val="46A08BB8"/>
    <w:multiLevelType w:val="singleLevel"/>
    <w:tmpl w:val="46A08BB8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19">
    <w:nsid w:val="4C1BAE26"/>
    <w:multiLevelType w:val="singleLevel"/>
    <w:tmpl w:val="4C1BAE26"/>
    <w:lvl w:ilvl="0" w:tentative="0">
      <w:start w:val="3"/>
      <w:numFmt w:val="decimal"/>
      <w:lvlText w:val="%1."/>
      <w:lvlJc w:val="left"/>
      <w:rPr>
        <w:color w:val="3370FF"/>
      </w:rPr>
    </w:lvl>
  </w:abstractNum>
  <w:abstractNum w:abstractNumId="20">
    <w:nsid w:val="4D4DC07F"/>
    <w:multiLevelType w:val="singleLevel"/>
    <w:tmpl w:val="4D4DC07F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1">
    <w:nsid w:val="59ADCABA"/>
    <w:multiLevelType w:val="singleLevel"/>
    <w:tmpl w:val="59ADCABA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2">
    <w:nsid w:val="5A241D34"/>
    <w:multiLevelType w:val="singleLevel"/>
    <w:tmpl w:val="5A241D34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3">
    <w:nsid w:val="60382F6E"/>
    <w:multiLevelType w:val="singleLevel"/>
    <w:tmpl w:val="60382F6E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4">
    <w:nsid w:val="629F7852"/>
    <w:multiLevelType w:val="singleLevel"/>
    <w:tmpl w:val="629F7852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5">
    <w:nsid w:val="72183CF9"/>
    <w:multiLevelType w:val="singleLevel"/>
    <w:tmpl w:val="72183CF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6">
    <w:nsid w:val="77ECEA79"/>
    <w:multiLevelType w:val="singleLevel"/>
    <w:tmpl w:val="77ECEA79"/>
    <w:lvl w:ilvl="0" w:tentative="0">
      <w:start w:val="0"/>
      <w:numFmt w:val="bullet"/>
      <w:lvlText w:val="•"/>
      <w:lvlJc w:val="left"/>
      <w:rPr>
        <w:color w:val="3370FF"/>
      </w:rPr>
    </w:lvl>
  </w:abstractNum>
  <w:abstractNum w:abstractNumId="27">
    <w:nsid w:val="7C246926"/>
    <w:multiLevelType w:val="singleLevel"/>
    <w:tmpl w:val="7C246926"/>
    <w:lvl w:ilvl="0" w:tentative="0">
      <w:start w:val="0"/>
      <w:numFmt w:val="bullet"/>
      <w:lvlText w:val="•"/>
      <w:lvlJc w:val="left"/>
      <w:rPr>
        <w:color w:val="3370FF"/>
      </w:rPr>
    </w:lvl>
  </w:abstractNum>
  <w:num w:numId="1">
    <w:abstractNumId w:val="11"/>
  </w:num>
  <w:num w:numId="2">
    <w:abstractNumId w:val="7"/>
  </w:num>
  <w:num w:numId="3">
    <w:abstractNumId w:val="21"/>
  </w:num>
  <w:num w:numId="4">
    <w:abstractNumId w:val="5"/>
  </w:num>
  <w:num w:numId="5">
    <w:abstractNumId w:val="3"/>
  </w:num>
  <w:num w:numId="6">
    <w:abstractNumId w:val="13"/>
  </w:num>
  <w:num w:numId="7">
    <w:abstractNumId w:val="16"/>
  </w:num>
  <w:num w:numId="8">
    <w:abstractNumId w:val="25"/>
  </w:num>
  <w:num w:numId="9">
    <w:abstractNumId w:val="12"/>
  </w:num>
  <w:num w:numId="10">
    <w:abstractNumId w:val="0"/>
  </w:num>
  <w:num w:numId="11">
    <w:abstractNumId w:val="17"/>
  </w:num>
  <w:num w:numId="12">
    <w:abstractNumId w:val="22"/>
  </w:num>
  <w:num w:numId="13">
    <w:abstractNumId w:val="6"/>
  </w:num>
  <w:num w:numId="14">
    <w:abstractNumId w:val="20"/>
  </w:num>
  <w:num w:numId="15">
    <w:abstractNumId w:val="10"/>
  </w:num>
  <w:num w:numId="16">
    <w:abstractNumId w:val="15"/>
  </w:num>
  <w:num w:numId="17">
    <w:abstractNumId w:val="9"/>
  </w:num>
  <w:num w:numId="18">
    <w:abstractNumId w:val="8"/>
  </w:num>
  <w:num w:numId="19">
    <w:abstractNumId w:val="1"/>
  </w:num>
  <w:num w:numId="20">
    <w:abstractNumId w:val="19"/>
  </w:num>
  <w:num w:numId="21">
    <w:abstractNumId w:val="23"/>
  </w:num>
  <w:num w:numId="22">
    <w:abstractNumId w:val="14"/>
  </w:num>
  <w:num w:numId="23">
    <w:abstractNumId w:val="18"/>
  </w:num>
  <w:num w:numId="24">
    <w:abstractNumId w:val="2"/>
  </w:num>
  <w:num w:numId="25">
    <w:abstractNumId w:val="27"/>
  </w:num>
  <w:num w:numId="26">
    <w:abstractNumId w:val="26"/>
  </w:num>
  <w:num w:numId="27">
    <w:abstractNumId w:val="4"/>
  </w:num>
  <w:num w:numId="28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documentProtection w:enforcement="0"/>
  <w:compat>
    <w:useFELayout/>
    <w:splitPgBreakAndParaMark/>
    <w:compatSetting w:name="compatibilityMode" w:uri="http://schemas.microsoft.com/office/word" w:val="12"/>
  </w:compat>
  <w:rsids>
    <w:rsidRoot w:val="00000000"/>
    <w:rsid w:val="14DD41C6"/>
    <w:rsid w:val="385E5621"/>
    <w:rsid w:val="3B3253A2"/>
    <w:rsid w:val="400C3F88"/>
    <w:rsid w:val="4FBB180D"/>
    <w:rsid w:val="57431F5A"/>
    <w:rsid w:val="5C3A36E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sz w:val="21"/>
      <w:szCs w:val="22"/>
    </w:rPr>
  </w:style>
  <w:style w:type="character" w:default="1" w:styleId="4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customXml" Target="../customXml/item1.xml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Office_11.1.0.10009_F1E327BC-269C-435d-A152-05C5408002CA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2026-02-28T14:06:00Z</dcterms:created>
  <dc:creator>Apache POI</dc:creator>
  <cp:lastModifiedBy>树叶世界</cp:lastModifiedBy>
  <dcterms:modified xsi:type="dcterms:W3CDTF">2026-02-28T14:26:47Z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</Properties>
</file>