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napToGrid w:val="0"/>
              <w:spacing w:line="240" w:lineRule="auto"/>
              <w:rPr>
                <w:rFonts w:hint="eastAsia" w:ascii="微软雅黑" w:hAnsi="微软雅黑" w:eastAsia="微软雅黑"/>
                <w:b/>
                <w:spacing w:val="45"/>
                <w:sz w:val="30"/>
                <w:szCs w:val="30"/>
              </w:rPr>
            </w:pPr>
          </w:p>
          <w:p>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3"/>
                <w:sz w:val="72"/>
                <w:szCs w:val="52"/>
                <w:fitText w:val="7200" w:id="0"/>
              </w:rPr>
              <w:t>建筑碳排放报告</w:t>
            </w:r>
            <w:r>
              <w:rPr>
                <w:rFonts w:hint="eastAsia" w:ascii="微软雅黑" w:hAnsi="微软雅黑" w:eastAsia="微软雅黑"/>
                <w:b/>
                <w:sz w:val="72"/>
                <w:szCs w:val="52"/>
                <w:fitText w:val="7200" w:id="0"/>
              </w:rPr>
              <w:t>书</w:t>
            </w:r>
          </w:p>
          <w:p>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体验3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b/>
                <w:sz w:val="32"/>
                <w:szCs w:val="52"/>
              </w:rPr>
              <w:t>BKA80084</w:t>
            </w:r>
            <w:bookmarkStart w:id="102" w:name="_GoBack"/>
            <w:bookmarkEnd w:id="102"/>
          </w:p>
          <w:p>
            <w:pPr>
              <w:snapToGrid w:val="0"/>
              <w:spacing w:line="240" w:lineRule="auto"/>
              <w:jc w:val="center"/>
              <w:rPr>
                <w:rFonts w:hint="eastAsia" w:ascii="微软雅黑" w:hAnsi="微软雅黑" w:eastAsia="微软雅黑"/>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360" w:lineRule="exact"/>
              <w:jc w:val="center"/>
              <w:rPr>
                <w:rFonts w:hint="eastAsia" w:ascii="微软雅黑" w:hAnsi="微软雅黑" w:eastAsia="微软雅黑"/>
                <w:b/>
                <w:sz w:val="32"/>
                <w:szCs w:val="52"/>
                <w:lang w:val="en-US"/>
              </w:rPr>
            </w:pPr>
            <w:bookmarkStart w:id="3" w:name="二维码"/>
          </w:p>
        </w:tc>
      </w:tr>
    </w:tbl>
    <w:p>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福建-福州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5"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6" w:name="设计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2025年12月20日</w:t>
            </w:r>
          </w:p>
        </w:tc>
      </w:tr>
    </w:tbl>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p>
        </w:tc>
        <w:tc>
          <w:tcPr>
            <w:tcW w:w="3958" w:type="dxa"/>
            <w:vMerge w:val="restart"/>
            <w:vAlign w:val="bottom"/>
          </w:tcPr>
          <w:p>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T18859020996</w:t>
            </w:r>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hint="eastAsia" w:ascii="等线" w:hAnsi="等线" w:eastAsia="等线"/>
                <w:color w:val="767171"/>
                <w:kern w:val="2"/>
                <w:szCs w:val="22"/>
                <w:lang w:val="en-US"/>
              </w:rPr>
            </w:pPr>
          </w:p>
        </w:tc>
      </w:tr>
    </w:tbl>
    <w:p>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hint="eastAsia"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_Toc19939 </w:instrText>
      </w:r>
      <w:r>
        <w:rPr>
          <w:rFonts w:ascii="宋体" w:hAnsi="宋体"/>
          <w:bCs w:val="0"/>
          <w:caps/>
        </w:rPr>
        <w:fldChar w:fldCharType="separate"/>
      </w:r>
      <w:r>
        <w:rPr>
          <w:rFonts w:hint="eastAsia"/>
        </w:rPr>
        <w:t>1 建筑概况</w:t>
      </w:r>
      <w:r>
        <w:tab/>
      </w:r>
      <w:r>
        <w:fldChar w:fldCharType="begin"/>
      </w:r>
      <w:r>
        <w:instrText xml:space="preserve"> PAGEREF _Toc19939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_Toc18523 </w:instrText>
      </w:r>
      <w:r>
        <w:fldChar w:fldCharType="separate"/>
      </w:r>
      <w:r>
        <w:rPr>
          <w:rFonts w:hint="eastAsia"/>
        </w:rPr>
        <w:t>2 标准依据</w:t>
      </w:r>
      <w:r>
        <w:tab/>
      </w:r>
      <w:r>
        <w:fldChar w:fldCharType="begin"/>
      </w:r>
      <w:r>
        <w:instrText xml:space="preserve"> PAGEREF _Toc18523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_Toc7579 </w:instrText>
      </w:r>
      <w:r>
        <w:fldChar w:fldCharType="separate"/>
      </w:r>
      <w:r>
        <w:rPr>
          <w:rFonts w:hint="eastAsia"/>
        </w:rPr>
        <w:t>3 软件介绍</w:t>
      </w:r>
      <w:r>
        <w:tab/>
      </w:r>
      <w:r>
        <w:fldChar w:fldCharType="begin"/>
      </w:r>
      <w:r>
        <w:instrText xml:space="preserve"> PAGEREF _Toc7579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_Toc17240 </w:instrText>
      </w:r>
      <w:r>
        <w:fldChar w:fldCharType="separate"/>
      </w:r>
      <w:r>
        <w:rPr>
          <w:rFonts w:hint="eastAsia"/>
        </w:rPr>
        <w:t>4 气象数据</w:t>
      </w:r>
      <w:r>
        <w:tab/>
      </w:r>
      <w:r>
        <w:fldChar w:fldCharType="begin"/>
      </w:r>
      <w:r>
        <w:instrText xml:space="preserve"> PAGEREF _Toc17240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_Toc18263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_Toc18263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_Toc27302 </w:instrText>
      </w:r>
      <w:r>
        <w:fldChar w:fldCharType="separate"/>
      </w:r>
      <w:r>
        <w:rPr>
          <w:rFonts w:hint="eastAsia"/>
          <w:lang w:val="en-GB"/>
        </w:rPr>
        <w:t xml:space="preserve">4.2 </w:t>
      </w:r>
      <w:r>
        <w:rPr>
          <w:rFonts w:hint="eastAsia"/>
        </w:rPr>
        <w:t>逐月辐照量表</w:t>
      </w:r>
      <w:r>
        <w:tab/>
      </w:r>
      <w:r>
        <w:fldChar w:fldCharType="begin"/>
      </w:r>
      <w:r>
        <w:instrText xml:space="preserve"> PAGEREF _Toc27302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_Toc1542 </w:instrText>
      </w:r>
      <w:r>
        <w:fldChar w:fldCharType="separate"/>
      </w:r>
      <w:r>
        <w:rPr>
          <w:rFonts w:hint="eastAsia"/>
          <w:lang w:val="en-GB"/>
        </w:rPr>
        <w:t xml:space="preserve">4.3 </w:t>
      </w:r>
      <w:r>
        <w:rPr>
          <w:rFonts w:hint="eastAsia"/>
        </w:rPr>
        <w:t>峰值工况</w:t>
      </w:r>
      <w:r>
        <w:tab/>
      </w:r>
      <w:r>
        <w:fldChar w:fldCharType="begin"/>
      </w:r>
      <w:r>
        <w:instrText xml:space="preserve"> PAGEREF _Toc1542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_Toc10860 </w:instrText>
      </w:r>
      <w:r>
        <w:fldChar w:fldCharType="separate"/>
      </w:r>
      <w:r>
        <w:rPr>
          <w:rFonts w:hint="eastAsia"/>
        </w:rPr>
        <w:t xml:space="preserve">5 </w:t>
      </w:r>
      <w:r>
        <w:t>建筑大样</w:t>
      </w:r>
      <w:r>
        <w:tab/>
      </w:r>
      <w:r>
        <w:fldChar w:fldCharType="begin"/>
      </w:r>
      <w:r>
        <w:instrText xml:space="preserve"> PAGEREF _Toc10860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_Toc1631 </w:instrText>
      </w:r>
      <w:r>
        <w:fldChar w:fldCharType="separate"/>
      </w:r>
      <w:r>
        <w:rPr>
          <w:rFonts w:hint="eastAsia"/>
        </w:rPr>
        <w:t xml:space="preserve">6 </w:t>
      </w:r>
      <w:r>
        <w:t>围护结构</w:t>
      </w:r>
      <w:r>
        <w:tab/>
      </w:r>
      <w:r>
        <w:fldChar w:fldCharType="begin"/>
      </w:r>
      <w:r>
        <w:instrText xml:space="preserve"> PAGEREF _Toc1631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_Toc20740 </w:instrText>
      </w:r>
      <w:r>
        <w:fldChar w:fldCharType="separate"/>
      </w:r>
      <w:r>
        <w:rPr>
          <w:rFonts w:hint="eastAsia"/>
          <w:lang w:val="en-GB"/>
        </w:rPr>
        <w:t xml:space="preserve">6.1 </w:t>
      </w:r>
      <w:r>
        <w:t>工程材料</w:t>
      </w:r>
      <w:r>
        <w:tab/>
      </w:r>
      <w:r>
        <w:fldChar w:fldCharType="begin"/>
      </w:r>
      <w:r>
        <w:instrText xml:space="preserve"> PAGEREF _Toc20740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_Toc26567 </w:instrText>
      </w:r>
      <w:r>
        <w:fldChar w:fldCharType="separate"/>
      </w:r>
      <w:r>
        <w:rPr>
          <w:rFonts w:hint="eastAsia"/>
          <w:lang w:val="en-GB"/>
        </w:rPr>
        <w:t xml:space="preserve">6.2 </w:t>
      </w:r>
      <w:r>
        <w:t>围护结构作法简要说明</w:t>
      </w:r>
      <w:r>
        <w:tab/>
      </w:r>
      <w:r>
        <w:fldChar w:fldCharType="begin"/>
      </w:r>
      <w:r>
        <w:instrText xml:space="preserve"> PAGEREF _Toc26567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_Toc18643 </w:instrText>
      </w:r>
      <w:r>
        <w:fldChar w:fldCharType="separate"/>
      </w:r>
      <w:r>
        <w:rPr>
          <w:rFonts w:hint="eastAsia"/>
        </w:rPr>
        <w:t xml:space="preserve">7 </w:t>
      </w:r>
      <w:r>
        <w:t>围护结构概况</w:t>
      </w:r>
      <w:r>
        <w:tab/>
      </w:r>
      <w:r>
        <w:fldChar w:fldCharType="begin"/>
      </w:r>
      <w:r>
        <w:instrText xml:space="preserve"> PAGEREF _Toc18643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_Toc22880 </w:instrText>
      </w:r>
      <w:r>
        <w:fldChar w:fldCharType="separate"/>
      </w:r>
      <w:r>
        <w:rPr>
          <w:rFonts w:hint="eastAsia"/>
        </w:rPr>
        <w:t xml:space="preserve">8 </w:t>
      </w:r>
      <w:r>
        <w:t>房间类型</w:t>
      </w:r>
      <w:r>
        <w:tab/>
      </w:r>
      <w:r>
        <w:fldChar w:fldCharType="begin"/>
      </w:r>
      <w:r>
        <w:instrText xml:space="preserve"> PAGEREF _Toc22880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_Toc24984 </w:instrText>
      </w:r>
      <w:r>
        <w:fldChar w:fldCharType="separate"/>
      </w:r>
      <w:r>
        <w:rPr>
          <w:rFonts w:hint="eastAsia"/>
          <w:lang w:val="en-GB"/>
        </w:rPr>
        <w:t xml:space="preserve">8.1 </w:t>
      </w:r>
      <w:r>
        <w:t>房间参数表</w:t>
      </w:r>
      <w:r>
        <w:tab/>
      </w:r>
      <w:r>
        <w:fldChar w:fldCharType="begin"/>
      </w:r>
      <w:r>
        <w:instrText xml:space="preserve"> PAGEREF _Toc24984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_Toc23685 </w:instrText>
      </w:r>
      <w:r>
        <w:fldChar w:fldCharType="separate"/>
      </w:r>
      <w:r>
        <w:rPr>
          <w:rFonts w:hint="eastAsia"/>
          <w:lang w:val="en-GB"/>
        </w:rPr>
        <w:t xml:space="preserve">8.2 </w:t>
      </w:r>
      <w:r>
        <w:t>作息时间表</w:t>
      </w:r>
      <w:r>
        <w:tab/>
      </w:r>
      <w:r>
        <w:fldChar w:fldCharType="begin"/>
      </w:r>
      <w:r>
        <w:instrText xml:space="preserve"> PAGEREF _Toc23685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_Toc11633 </w:instrText>
      </w:r>
      <w:r>
        <w:fldChar w:fldCharType="separate"/>
      </w:r>
      <w:r>
        <w:rPr>
          <w:rFonts w:hint="eastAsia"/>
        </w:rPr>
        <w:t xml:space="preserve">9 </w:t>
      </w:r>
      <w:r>
        <w:t>系统类型</w:t>
      </w:r>
      <w:r>
        <w:tab/>
      </w:r>
      <w:r>
        <w:fldChar w:fldCharType="begin"/>
      </w:r>
      <w:r>
        <w:instrText xml:space="preserve"> PAGEREF _Toc11633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_Toc16453 </w:instrText>
      </w:r>
      <w:r>
        <w:fldChar w:fldCharType="separate"/>
      </w:r>
      <w:r>
        <w:rPr>
          <w:rFonts w:hint="eastAsia"/>
          <w:lang w:val="en-GB"/>
        </w:rPr>
        <w:t xml:space="preserve">9.1 </w:t>
      </w:r>
      <w:r>
        <w:t>系统分区</w:t>
      </w:r>
      <w:r>
        <w:tab/>
      </w:r>
      <w:r>
        <w:fldChar w:fldCharType="begin"/>
      </w:r>
      <w:r>
        <w:instrText xml:space="preserve"> PAGEREF _Toc16453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_Toc22258 </w:instrText>
      </w:r>
      <w:r>
        <w:fldChar w:fldCharType="separate"/>
      </w:r>
      <w:r>
        <w:rPr>
          <w:rFonts w:hint="eastAsia"/>
          <w:lang w:val="en-GB"/>
        </w:rPr>
        <w:t xml:space="preserve">9.2 </w:t>
      </w:r>
      <w:r>
        <w:t>热回收参数</w:t>
      </w:r>
      <w:r>
        <w:tab/>
      </w:r>
      <w:r>
        <w:fldChar w:fldCharType="begin"/>
      </w:r>
      <w:r>
        <w:instrText xml:space="preserve"> PAGEREF _Toc22258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_Toc17819 </w:instrText>
      </w:r>
      <w:r>
        <w:fldChar w:fldCharType="separate"/>
      </w:r>
      <w:r>
        <w:rPr>
          <w:rFonts w:hint="eastAsia"/>
        </w:rPr>
        <w:t xml:space="preserve">10 </w:t>
      </w:r>
      <w:r>
        <w:t>制冷系统</w:t>
      </w:r>
      <w:r>
        <w:tab/>
      </w:r>
      <w:r>
        <w:fldChar w:fldCharType="begin"/>
      </w:r>
      <w:r>
        <w:instrText xml:space="preserve"> PAGEREF _Toc17819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_Toc16637 </w:instrText>
      </w:r>
      <w:r>
        <w:fldChar w:fldCharType="separate"/>
      </w:r>
      <w:r>
        <w:rPr>
          <w:rFonts w:hint="eastAsia"/>
          <w:lang w:val="en-GB"/>
        </w:rPr>
        <w:t xml:space="preserve">10.1 </w:t>
      </w:r>
      <w:r>
        <w:t>多联机/单元式空调能耗</w:t>
      </w:r>
      <w:r>
        <w:tab/>
      </w:r>
      <w:r>
        <w:fldChar w:fldCharType="begin"/>
      </w:r>
      <w:r>
        <w:instrText xml:space="preserve"> PAGEREF _Toc16637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_Toc6770 </w:instrText>
      </w:r>
      <w:r>
        <w:fldChar w:fldCharType="separate"/>
      </w:r>
      <w:r>
        <w:rPr>
          <w:rFonts w:hint="eastAsia"/>
        </w:rPr>
        <w:t xml:space="preserve">11 </w:t>
      </w:r>
      <w:r>
        <w:t>空调风机</w:t>
      </w:r>
      <w:r>
        <w:tab/>
      </w:r>
      <w:r>
        <w:fldChar w:fldCharType="begin"/>
      </w:r>
      <w:r>
        <w:instrText xml:space="preserve"> PAGEREF _Toc6770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_Toc1590 </w:instrText>
      </w:r>
      <w:r>
        <w:fldChar w:fldCharType="separate"/>
      </w:r>
      <w:r>
        <w:rPr>
          <w:rFonts w:hint="eastAsia"/>
        </w:rPr>
        <w:t xml:space="preserve">12 </w:t>
      </w:r>
      <w:r>
        <w:t>照明</w:t>
      </w:r>
      <w:r>
        <w:tab/>
      </w:r>
      <w:r>
        <w:fldChar w:fldCharType="begin"/>
      </w:r>
      <w:r>
        <w:instrText xml:space="preserve"> PAGEREF _Toc1590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_Toc2484 </w:instrText>
      </w:r>
      <w:r>
        <w:fldChar w:fldCharType="separate"/>
      </w:r>
      <w:r>
        <w:rPr>
          <w:rFonts w:hint="eastAsia"/>
        </w:rPr>
        <w:t xml:space="preserve">13 </w:t>
      </w:r>
      <w:r>
        <w:t>插座设备</w:t>
      </w:r>
      <w:r>
        <w:tab/>
      </w:r>
      <w:r>
        <w:fldChar w:fldCharType="begin"/>
      </w:r>
      <w:r>
        <w:instrText xml:space="preserve"> PAGEREF _Toc2484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_Toc23885 </w:instrText>
      </w:r>
      <w:r>
        <w:fldChar w:fldCharType="separate"/>
      </w:r>
      <w:r>
        <w:rPr>
          <w:rFonts w:hint="eastAsia"/>
        </w:rPr>
        <w:t xml:space="preserve">14 </w:t>
      </w:r>
      <w:r>
        <w:t>排风机</w:t>
      </w:r>
      <w:r>
        <w:tab/>
      </w:r>
      <w:r>
        <w:fldChar w:fldCharType="begin"/>
      </w:r>
      <w:r>
        <w:instrText xml:space="preserve"> PAGEREF _Toc23885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_Toc28921 </w:instrText>
      </w:r>
      <w:r>
        <w:fldChar w:fldCharType="separate"/>
      </w:r>
      <w:r>
        <w:rPr>
          <w:rFonts w:hint="eastAsia"/>
        </w:rPr>
        <w:t xml:space="preserve">15 </w:t>
      </w:r>
      <w:r>
        <w:t>生活热水</w:t>
      </w:r>
      <w:r>
        <w:tab/>
      </w:r>
      <w:r>
        <w:fldChar w:fldCharType="begin"/>
      </w:r>
      <w:r>
        <w:instrText xml:space="preserve"> PAGEREF _Toc28921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_Toc20602 </w:instrText>
      </w:r>
      <w:r>
        <w:fldChar w:fldCharType="separate"/>
      </w:r>
      <w:r>
        <w:rPr>
          <w:rFonts w:hint="eastAsia"/>
          <w:lang w:val="en-GB"/>
        </w:rPr>
        <w:t xml:space="preserve">15.1 </w:t>
      </w:r>
      <w:r>
        <w:t>热水需求</w:t>
      </w:r>
      <w:r>
        <w:tab/>
      </w:r>
      <w:r>
        <w:fldChar w:fldCharType="begin"/>
      </w:r>
      <w:r>
        <w:instrText xml:space="preserve"> PAGEREF _Toc20602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_Toc20631 </w:instrText>
      </w:r>
      <w:r>
        <w:fldChar w:fldCharType="separate"/>
      </w:r>
      <w:r>
        <w:rPr>
          <w:rFonts w:hint="eastAsia"/>
          <w:lang w:val="en-GB"/>
        </w:rPr>
        <w:t xml:space="preserve">15.2 </w:t>
      </w:r>
      <w:r>
        <w:t>太阳能集热</w:t>
      </w:r>
      <w:r>
        <w:tab/>
      </w:r>
      <w:r>
        <w:fldChar w:fldCharType="begin"/>
      </w:r>
      <w:r>
        <w:instrText xml:space="preserve"> PAGEREF _Toc20631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_Toc27092 </w:instrText>
      </w:r>
      <w:r>
        <w:fldChar w:fldCharType="separate"/>
      </w:r>
      <w:r>
        <w:rPr>
          <w:rFonts w:hint="eastAsia"/>
          <w:lang w:val="en-GB"/>
        </w:rPr>
        <w:t xml:space="preserve">15.3 </w:t>
      </w:r>
      <w:r>
        <w:t>热水设备</w:t>
      </w:r>
      <w:r>
        <w:tab/>
      </w:r>
      <w:r>
        <w:fldChar w:fldCharType="begin"/>
      </w:r>
      <w:r>
        <w:instrText xml:space="preserve"> PAGEREF _Toc27092 </w:instrText>
      </w:r>
      <w:r>
        <w:fldChar w:fldCharType="separate"/>
      </w:r>
      <w:r>
        <w:t>13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_Toc12561 </w:instrText>
      </w:r>
      <w:r>
        <w:fldChar w:fldCharType="separate"/>
      </w:r>
      <w:r>
        <w:rPr>
          <w:rFonts w:hint="eastAsia"/>
        </w:rPr>
        <w:t xml:space="preserve">16 </w:t>
      </w:r>
      <w:r>
        <w:t>光伏发电</w:t>
      </w:r>
      <w:r>
        <w:tab/>
      </w:r>
      <w:r>
        <w:fldChar w:fldCharType="begin"/>
      </w:r>
      <w:r>
        <w:instrText xml:space="preserve"> PAGEREF _Toc12561 </w:instrText>
      </w:r>
      <w:r>
        <w:fldChar w:fldCharType="separate"/>
      </w:r>
      <w:r>
        <w:t>13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_Toc17263 </w:instrText>
      </w:r>
      <w:r>
        <w:fldChar w:fldCharType="separate"/>
      </w:r>
      <w:r>
        <w:rPr>
          <w:rFonts w:hint="eastAsia"/>
        </w:rPr>
        <w:t xml:space="preserve">17 </w:t>
      </w:r>
      <w:r>
        <w:t>计算结果</w:t>
      </w:r>
      <w:r>
        <w:tab/>
      </w:r>
      <w:r>
        <w:fldChar w:fldCharType="begin"/>
      </w:r>
      <w:r>
        <w:instrText xml:space="preserve"> PAGEREF _Toc17263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_Toc12612 </w:instrText>
      </w:r>
      <w:r>
        <w:fldChar w:fldCharType="separate"/>
      </w:r>
      <w:r>
        <w:rPr>
          <w:rFonts w:hint="eastAsia"/>
          <w:lang w:val="en-GB"/>
        </w:rPr>
        <w:t xml:space="preserve">17.1 </w:t>
      </w:r>
      <w:r>
        <w:t>建材生产运输碳排放</w:t>
      </w:r>
      <w:r>
        <w:tab/>
      </w:r>
      <w:r>
        <w:fldChar w:fldCharType="begin"/>
      </w:r>
      <w:r>
        <w:instrText xml:space="preserve"> PAGEREF _Toc12612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_Toc8553 </w:instrText>
      </w:r>
      <w:r>
        <w:fldChar w:fldCharType="separate"/>
      </w:r>
      <w:r>
        <w:rPr>
          <w:rFonts w:hint="eastAsia" w:eastAsia="宋体"/>
          <w:szCs w:val="24"/>
          <w:lang w:val="en-GB"/>
        </w:rPr>
        <w:t xml:space="preserve">17.1.1 </w:t>
      </w:r>
      <w:r>
        <w:t>建材生产阶段</w:t>
      </w:r>
      <w:r>
        <w:tab/>
      </w:r>
      <w:r>
        <w:fldChar w:fldCharType="begin"/>
      </w:r>
      <w:r>
        <w:instrText xml:space="preserve"> PAGEREF _Toc8553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_Toc27332 </w:instrText>
      </w:r>
      <w:r>
        <w:fldChar w:fldCharType="separate"/>
      </w:r>
      <w:r>
        <w:rPr>
          <w:rFonts w:hint="eastAsia" w:eastAsia="宋体"/>
          <w:szCs w:val="24"/>
          <w:lang w:val="en-GB"/>
        </w:rPr>
        <w:t xml:space="preserve">17.1.2 </w:t>
      </w:r>
      <w:r>
        <w:t>建材运输阶段</w:t>
      </w:r>
      <w:r>
        <w:tab/>
      </w:r>
      <w:r>
        <w:fldChar w:fldCharType="begin"/>
      </w:r>
      <w:r>
        <w:instrText xml:space="preserve"> PAGEREF _Toc27332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_Toc11588 </w:instrText>
      </w:r>
      <w:r>
        <w:fldChar w:fldCharType="separate"/>
      </w:r>
      <w:r>
        <w:rPr>
          <w:rFonts w:hint="eastAsia"/>
          <w:lang w:val="en-GB"/>
        </w:rPr>
        <w:t xml:space="preserve">17.2 </w:t>
      </w:r>
      <w:r>
        <w:t>建筑建造拆除碳排放</w:t>
      </w:r>
      <w:r>
        <w:tab/>
      </w:r>
      <w:r>
        <w:fldChar w:fldCharType="begin"/>
      </w:r>
      <w:r>
        <w:instrText xml:space="preserve"> PAGEREF _Toc11588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_Toc1599 </w:instrText>
      </w:r>
      <w:r>
        <w:fldChar w:fldCharType="separate"/>
      </w:r>
      <w:r>
        <w:rPr>
          <w:rFonts w:hint="eastAsia" w:eastAsia="宋体"/>
          <w:szCs w:val="24"/>
          <w:lang w:val="en-GB"/>
        </w:rPr>
        <w:t xml:space="preserve">17.2.1 </w:t>
      </w:r>
      <w:r>
        <w:t>建筑建造</w:t>
      </w:r>
      <w:r>
        <w:tab/>
      </w:r>
      <w:r>
        <w:fldChar w:fldCharType="begin"/>
      </w:r>
      <w:r>
        <w:instrText xml:space="preserve"> PAGEREF _Toc1599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_Toc25929 </w:instrText>
      </w:r>
      <w:r>
        <w:fldChar w:fldCharType="separate"/>
      </w:r>
      <w:r>
        <w:rPr>
          <w:rFonts w:hint="eastAsia" w:eastAsia="宋体"/>
          <w:szCs w:val="24"/>
          <w:lang w:val="en-GB"/>
        </w:rPr>
        <w:t xml:space="preserve">17.2.2 </w:t>
      </w:r>
      <w:r>
        <w:t>建筑拆除</w:t>
      </w:r>
      <w:r>
        <w:tab/>
      </w:r>
      <w:r>
        <w:fldChar w:fldCharType="begin"/>
      </w:r>
      <w:r>
        <w:instrText xml:space="preserve"> PAGEREF _Toc25929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_Toc26599 </w:instrText>
      </w:r>
      <w:r>
        <w:fldChar w:fldCharType="separate"/>
      </w:r>
      <w:r>
        <w:rPr>
          <w:rFonts w:hint="eastAsia"/>
          <w:lang w:val="en-GB"/>
        </w:rPr>
        <w:t xml:space="preserve">17.3 </w:t>
      </w:r>
      <w:r>
        <w:t>碳汇</w:t>
      </w:r>
      <w:r>
        <w:tab/>
      </w:r>
      <w:r>
        <w:fldChar w:fldCharType="begin"/>
      </w:r>
      <w:r>
        <w:instrText xml:space="preserve"> PAGEREF _Toc26599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_Toc10183 </w:instrText>
      </w:r>
      <w:r>
        <w:fldChar w:fldCharType="separate"/>
      </w:r>
      <w:r>
        <w:rPr>
          <w:rFonts w:hint="eastAsia"/>
          <w:lang w:val="en-GB"/>
        </w:rPr>
        <w:t xml:space="preserve">17.4 </w:t>
      </w:r>
      <w:r>
        <w:t>建筑运行碳排放</w:t>
      </w:r>
      <w:r>
        <w:tab/>
      </w:r>
      <w:r>
        <w:fldChar w:fldCharType="begin"/>
      </w:r>
      <w:r>
        <w:instrText xml:space="preserve"> PAGEREF _Toc10183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_Toc23596 </w:instrText>
      </w:r>
      <w:r>
        <w:fldChar w:fldCharType="separate"/>
      </w:r>
      <w:r>
        <w:rPr>
          <w:rFonts w:hint="eastAsia"/>
          <w:lang w:val="en-GB"/>
        </w:rPr>
        <w:t xml:space="preserve">17.5 </w:t>
      </w:r>
      <w:r>
        <w:t>全生命周期碳排放</w:t>
      </w:r>
      <w:r>
        <w:tab/>
      </w:r>
      <w:r>
        <w:fldChar w:fldCharType="begin"/>
      </w:r>
      <w:r>
        <w:instrText xml:space="preserve"> PAGEREF _Toc23596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_Toc16736 </w:instrText>
      </w:r>
      <w:r>
        <w:fldChar w:fldCharType="separate"/>
      </w:r>
      <w:r>
        <w:rPr>
          <w:rFonts w:hint="eastAsia" w:eastAsia="宋体"/>
          <w:szCs w:val="24"/>
          <w:lang w:val="en-GB"/>
        </w:rPr>
        <w:t xml:space="preserve">17.5.1 </w:t>
      </w:r>
      <w:r>
        <w:t>碳排放强度</w:t>
      </w:r>
      <w:r>
        <w:tab/>
      </w:r>
      <w:r>
        <w:fldChar w:fldCharType="begin"/>
      </w:r>
      <w:r>
        <w:instrText xml:space="preserve"> PAGEREF _Toc16736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_Toc12111 </w:instrText>
      </w:r>
      <w:r>
        <w:fldChar w:fldCharType="separate"/>
      </w:r>
      <w:r>
        <w:rPr>
          <w:rFonts w:hint="eastAsia" w:eastAsia="宋体"/>
          <w:szCs w:val="24"/>
          <w:lang w:val="en-GB"/>
        </w:rPr>
        <w:t xml:space="preserve">17.5.2 </w:t>
      </w:r>
      <w:r>
        <w:t>总碳排放量</w:t>
      </w:r>
      <w:r>
        <w:tab/>
      </w:r>
      <w:r>
        <w:fldChar w:fldCharType="begin"/>
      </w:r>
      <w:r>
        <w:instrText xml:space="preserve"> PAGEREF _Toc12111 </w:instrText>
      </w:r>
      <w:r>
        <w:fldChar w:fldCharType="separate"/>
      </w:r>
      <w:r>
        <w:t>17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_Toc24270 </w:instrText>
      </w:r>
      <w:r>
        <w:fldChar w:fldCharType="separate"/>
      </w:r>
      <w:r>
        <w:rPr>
          <w:rFonts w:hint="eastAsia"/>
        </w:rPr>
        <w:t xml:space="preserve">18 </w:t>
      </w:r>
      <w:r>
        <w:t>附录</w:t>
      </w:r>
      <w:r>
        <w:tab/>
      </w:r>
      <w:r>
        <w:fldChar w:fldCharType="begin"/>
      </w:r>
      <w:r>
        <w:instrText xml:space="preserve"> PAGEREF _Toc24270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_Toc11932 </w:instrText>
      </w:r>
      <w:r>
        <w:fldChar w:fldCharType="separate"/>
      </w:r>
      <w:r>
        <w:rPr>
          <w:rFonts w:hint="eastAsia"/>
          <w:lang w:val="en-GB"/>
        </w:rPr>
        <w:t xml:space="preserve">18.1 </w:t>
      </w:r>
      <w:r>
        <w:t>工作日/节假日人员逐时在室率(%)</w:t>
      </w:r>
      <w:r>
        <w:tab/>
      </w:r>
      <w:r>
        <w:fldChar w:fldCharType="begin"/>
      </w:r>
      <w:r>
        <w:instrText xml:space="preserve"> PAGEREF _Toc11932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_Toc1476 </w:instrText>
      </w:r>
      <w:r>
        <w:fldChar w:fldCharType="separate"/>
      </w:r>
      <w:r>
        <w:rPr>
          <w:rFonts w:hint="eastAsia"/>
          <w:lang w:val="en-GB"/>
        </w:rPr>
        <w:t xml:space="preserve">18.2 </w:t>
      </w:r>
      <w:r>
        <w:t>工作日/节假日照明开关时间表(%)</w:t>
      </w:r>
      <w:r>
        <w:tab/>
      </w:r>
      <w:r>
        <w:fldChar w:fldCharType="begin"/>
      </w:r>
      <w:r>
        <w:instrText xml:space="preserve"> PAGEREF _Toc1476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_Toc18498 </w:instrText>
      </w:r>
      <w:r>
        <w:fldChar w:fldCharType="separate"/>
      </w:r>
      <w:r>
        <w:rPr>
          <w:rFonts w:hint="eastAsia"/>
          <w:lang w:val="en-GB"/>
        </w:rPr>
        <w:t xml:space="preserve">18.3 </w:t>
      </w:r>
      <w:r>
        <w:t>工作日/节假日设备逐时使用率(%)</w:t>
      </w:r>
      <w:r>
        <w:tab/>
      </w:r>
      <w:r>
        <w:fldChar w:fldCharType="begin"/>
      </w:r>
      <w:r>
        <w:instrText xml:space="preserve"> PAGEREF _Toc18498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_Toc5589 </w:instrText>
      </w:r>
      <w:r>
        <w:fldChar w:fldCharType="separate"/>
      </w:r>
      <w:r>
        <w:rPr>
          <w:rFonts w:hint="eastAsia"/>
          <w:lang w:val="en-GB"/>
        </w:rPr>
        <w:t xml:space="preserve">18.4 </w:t>
      </w:r>
      <w:r>
        <w:t>工作日/节假日空调系统运行时间表(1:开,0:关)</w:t>
      </w:r>
      <w:r>
        <w:tab/>
      </w:r>
      <w:r>
        <w:fldChar w:fldCharType="begin"/>
      </w:r>
      <w:r>
        <w:instrText xml:space="preserve"> PAGEREF _Toc5589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_Toc26407 </w:instrText>
      </w:r>
      <w:r>
        <w:fldChar w:fldCharType="separate"/>
      </w:r>
      <w:r>
        <w:rPr>
          <w:rFonts w:hint="eastAsia"/>
          <w:lang w:val="en-GB"/>
        </w:rPr>
        <w:t xml:space="preserve">18.5 </w:t>
      </w:r>
      <w:r>
        <w:t>工作日/节假日新风运行时间表(%)</w:t>
      </w:r>
      <w:r>
        <w:tab/>
      </w:r>
      <w:r>
        <w:fldChar w:fldCharType="begin"/>
      </w:r>
      <w:r>
        <w:instrText xml:space="preserve"> PAGEREF _Toc26407 </w:instrText>
      </w:r>
      <w:r>
        <w:fldChar w:fldCharType="separate"/>
      </w:r>
      <w:r>
        <w:t>21</w:t>
      </w:r>
      <w:r>
        <w:fldChar w:fldCharType="end"/>
      </w:r>
      <w:r>
        <w:fldChar w:fldCharType="end"/>
      </w:r>
    </w:p>
    <w:p>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pPr>
        <w:pStyle w:val="2"/>
      </w:pPr>
      <w:bookmarkStart w:id="12" w:name="_Toc19939"/>
      <w:r>
        <w:rPr>
          <w:rFonts w:hint="eastAsia"/>
        </w:rPr>
        <w:t>建筑概况</w:t>
      </w:r>
      <w:bookmarkEnd w:id="12"/>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pPr>
              <w:pStyle w:val="3"/>
              <w:ind w:firstLine="0" w:firstLineChars="0"/>
              <w:rPr>
                <w:rFonts w:hint="eastAsia" w:ascii="宋体" w:hAnsi="宋体"/>
                <w:lang w:val="en-US"/>
              </w:rPr>
            </w:pPr>
            <w:bookmarkStart w:id="13" w:name="工程名称"/>
            <w:r>
              <w:t>体验3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pPr>
              <w:pStyle w:val="3"/>
              <w:ind w:firstLine="0" w:firstLineChars="0"/>
              <w:rPr>
                <w:rFonts w:hint="eastAsia" w:ascii="宋体" w:hAnsi="宋体"/>
                <w:lang w:val="en-US"/>
              </w:rPr>
            </w:pPr>
            <w:bookmarkStart w:id="14" w:name="工程地点"/>
            <w:r>
              <w:t>福建-福州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032" w:type="dxa"/>
          </w:tcPr>
          <w:p>
            <w:pPr>
              <w:pStyle w:val="3"/>
              <w:ind w:firstLine="0" w:firstLineChars="0"/>
              <w:rPr>
                <w:rFonts w:hint="eastAsia" w:ascii="宋体" w:hAnsi="宋体"/>
                <w:lang w:val="en-US"/>
              </w:rPr>
            </w:pPr>
            <w:r>
              <w:rPr>
                <w:rFonts w:hint="eastAsia" w:ascii="宋体" w:hAnsi="宋体"/>
                <w:lang w:val="en-US"/>
              </w:rPr>
              <w:t>北纬：</w:t>
            </w:r>
            <w:bookmarkStart w:id="15" w:name="纬度"/>
            <w:r>
              <w:rPr>
                <w:rFonts w:hint="eastAsia" w:ascii="宋体" w:hAnsi="宋体"/>
                <w:lang w:val="en-US"/>
              </w:rPr>
              <w:t>26.00°</w:t>
            </w:r>
          </w:p>
        </w:tc>
        <w:tc>
          <w:tcPr>
            <w:tcW w:w="3037" w:type="dxa"/>
          </w:tcPr>
          <w:p>
            <w:pPr>
              <w:pStyle w:val="3"/>
              <w:ind w:firstLine="0" w:firstLineChars="0"/>
              <w:rPr>
                <w:rFonts w:hint="eastAsia" w:ascii="宋体" w:hAnsi="宋体"/>
                <w:lang w:val="en-US"/>
              </w:rPr>
            </w:pPr>
            <w:r>
              <w:rPr>
                <w:rFonts w:hint="eastAsia" w:ascii="宋体" w:hAnsi="宋体"/>
                <w:lang w:val="en-US"/>
              </w:rPr>
              <w:t>东经：</w:t>
            </w:r>
            <w:bookmarkStart w:id="16" w:name="经度"/>
            <w:r>
              <w:rPr>
                <w:rFonts w:hint="eastAsia" w:ascii="宋体" w:hAnsi="宋体"/>
                <w:lang w:val="en-US"/>
              </w:rPr>
              <w:t>119.28°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pPr>
              <w:pStyle w:val="3"/>
              <w:ind w:firstLine="0" w:firstLineChars="0"/>
              <w:rPr>
                <w:rFonts w:hint="eastAsia" w:ascii="宋体" w:hAnsi="宋体"/>
                <w:lang w:val="en-US"/>
              </w:rPr>
            </w:pPr>
            <w:bookmarkStart w:id="17" w:name="建筑寿命"/>
            <w: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8" w:name="地上建筑面积"/>
            <w:r>
              <w:rPr>
                <w:rFonts w:hint="eastAsia" w:ascii="宋体" w:hAnsi="宋体"/>
                <w:lang w:val="en-US"/>
              </w:rPr>
              <w:t>825    地下</w:t>
            </w:r>
            <w:bookmarkStart w:id="19" w:name="地下建筑面积"/>
            <w:r>
              <w:rPr>
                <w:rFonts w:hint="eastAsia" w:ascii="宋体" w:hAnsi="宋体"/>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0" w:name="地上建筑层数"/>
            <w:r>
              <w:rPr>
                <w:rFonts w:hint="eastAsia" w:ascii="宋体" w:hAnsi="宋体"/>
                <w:lang w:val="en-US"/>
              </w:rPr>
              <w:t>1          地下</w:t>
            </w:r>
            <w:bookmarkStart w:id="21" w:name="地下建筑层数"/>
            <w: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2" w:name="地上建筑高度"/>
            <w:r>
              <w:rPr>
                <w:rFonts w:hint="eastAsia" w:ascii="宋体" w:hAnsi="宋体"/>
                <w:lang w:val="en-US"/>
              </w:rPr>
              <w:t>4.0     地下</w:t>
            </w:r>
            <w:bookmarkStart w:id="23" w:name="地下建筑高度"/>
            <w:r>
              <w:rPr>
                <w:rFonts w:hint="eastAsia" w:ascii="宋体" w:hAnsi="宋体"/>
                <w:lang w:val="en-US"/>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4" w:name="建筑体积"/>
            <w:r>
              <w:t>3300.00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5" w:name="外表面积"/>
            <w:r>
              <w:t>1294.95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pPr>
              <w:pStyle w:val="3"/>
              <w:ind w:firstLine="0" w:firstLineChars="0"/>
              <w:rPr>
                <w:rFonts w:hint="eastAsia" w:ascii="宋体" w:hAnsi="宋体"/>
                <w:lang w:val="en-US"/>
              </w:rPr>
            </w:pPr>
            <w:bookmarkStart w:id="26" w:name="北向角度"/>
            <w:r>
              <w:t>149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pPr>
              <w:pStyle w:val="3"/>
              <w:ind w:firstLine="0" w:firstLineChars="0"/>
              <w:rPr>
                <w:rFonts w:hint="eastAsia" w:ascii="宋体" w:hAnsi="宋体"/>
                <w:lang w:val="en-US"/>
              </w:rPr>
            </w:pPr>
            <w:bookmarkStart w:id="27" w:name="结构类型"/>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069" w:type="dxa"/>
            <w:gridSpan w:val="2"/>
          </w:tcPr>
          <w:p>
            <w:pPr>
              <w:pStyle w:val="3"/>
              <w:ind w:firstLine="0" w:firstLineChars="0"/>
              <w:rPr>
                <w:rFonts w:hint="eastAsia" w:ascii="宋体" w:hAnsi="宋体"/>
                <w:lang w:val="en-US"/>
              </w:rPr>
            </w:pPr>
            <w:bookmarkStart w:id="28" w:name="外墙ρ"/>
            <w:r>
              <w:rPr>
                <w:rFonts w:hint="eastAsia"/>
              </w:rPr>
              <w:t>0.73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069" w:type="dxa"/>
            <w:gridSpan w:val="2"/>
          </w:tcPr>
          <w:p>
            <w:pPr>
              <w:pStyle w:val="3"/>
              <w:ind w:firstLine="0" w:firstLineChars="0"/>
              <w:rPr>
                <w:rFonts w:hint="eastAsia" w:ascii="宋体" w:hAnsi="宋体"/>
                <w:lang w:val="en-US"/>
              </w:rPr>
            </w:pPr>
            <w:bookmarkStart w:id="29" w:name="屋顶ρ"/>
            <w:r>
              <w:rPr>
                <w:rFonts w:hint="eastAsia"/>
              </w:rPr>
              <w:t>0.70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pPr>
            <w:r>
              <w:rPr>
                <w:rFonts w:hint="eastAsia"/>
              </w:rPr>
              <w:t>控温期</w:t>
            </w:r>
          </w:p>
        </w:tc>
        <w:tc>
          <w:tcPr>
            <w:tcW w:w="6069" w:type="dxa"/>
            <w:gridSpan w:val="2"/>
          </w:tcPr>
          <w:p>
            <w:pPr>
              <w:pStyle w:val="3"/>
              <w:ind w:firstLine="0" w:firstLineChars="0"/>
            </w:pPr>
            <w:bookmarkStart w:id="30" w:name="控温期"/>
            <w:r>
              <w:t>全年控温</w:t>
            </w:r>
          </w:p>
        </w:tc>
      </w:tr>
    </w:tbl>
    <w:p>
      <w:pPr>
        <w:pStyle w:val="3"/>
        <w:ind w:firstLine="0" w:firstLineChars="0"/>
        <w:rPr>
          <w:lang w:val="en-US"/>
        </w:rPr>
      </w:pPr>
    </w:p>
    <w:p>
      <w:pPr>
        <w:pStyle w:val="2"/>
      </w:pPr>
      <w:bookmarkStart w:id="31" w:name="_Toc18523"/>
      <w:bookmarkStart w:id="32" w:name="TitleFormat"/>
      <w:r>
        <w:rPr>
          <w:rFonts w:hint="eastAsia"/>
        </w:rPr>
        <w:t>标准依据</w:t>
      </w:r>
      <w:bookmarkEnd w:id="31"/>
    </w:p>
    <w:p>
      <w:pPr>
        <w:pStyle w:val="3"/>
        <w:ind w:firstLine="0" w:firstLineChars="0"/>
        <w:rPr>
          <w:lang w:val="en-US"/>
        </w:rPr>
      </w:pPr>
      <w:bookmarkStart w:id="33" w:name="计算依据"/>
      <w:r>
        <w:rPr>
          <w:lang w:val="en-US"/>
        </w:rPr>
        <w:t>1. 《建筑节能与可再生能源利用通用规范》GB 55015-2021</w:t>
      </w:r>
    </w:p>
    <w:p>
      <w:pPr>
        <w:pStyle w:val="3"/>
        <w:ind w:firstLine="0" w:firstLineChars="0"/>
        <w:rPr>
          <w:lang w:val="en-US"/>
        </w:rPr>
      </w:pPr>
      <w:r>
        <w:rPr>
          <w:lang w:val="en-US"/>
        </w:rPr>
        <w:t>2. 《建筑碳排放计算标准》GB/T 51366-2019</w:t>
      </w:r>
    </w:p>
    <w:p>
      <w:pPr>
        <w:pStyle w:val="3"/>
        <w:ind w:firstLine="0" w:firstLineChars="0"/>
        <w:rPr>
          <w:lang w:val="en-US"/>
        </w:rPr>
      </w:pPr>
      <w:r>
        <w:rPr>
          <w:lang w:val="en-US"/>
        </w:rPr>
        <w:t>3. 《绿色建筑评价标准》(GB/T 50378-2019)局部修订(2024年版)</w:t>
      </w:r>
    </w:p>
    <w:p>
      <w:pPr>
        <w:pStyle w:val="3"/>
        <w:ind w:firstLine="0" w:firstLineChars="0"/>
        <w:rPr>
          <w:lang w:val="en-US"/>
        </w:rPr>
      </w:pPr>
      <w:r>
        <w:rPr>
          <w:lang w:val="en-US"/>
        </w:rPr>
        <w:t>4. 《民用建筑绿色性能计算标准》JGJ/T 449-2018</w:t>
      </w:r>
    </w:p>
    <w:p>
      <w:pPr>
        <w:pStyle w:val="2"/>
      </w:pPr>
      <w:bookmarkStart w:id="34" w:name="_Toc7579"/>
      <w:bookmarkStart w:id="35" w:name="_Toc59800596"/>
      <w:bookmarkStart w:id="36" w:name="_Toc58336110"/>
      <w:bookmarkStart w:id="37" w:name="_Toc59787735"/>
      <w:bookmarkStart w:id="38" w:name="_Toc59802421"/>
      <w:r>
        <w:rPr>
          <w:rFonts w:hint="eastAsia"/>
        </w:rPr>
        <w:t>软件介绍</w:t>
      </w:r>
      <w:bookmarkEnd w:id="34"/>
    </w:p>
    <w:p>
      <w:pPr>
        <w:pStyle w:val="3"/>
        <w:ind w:firstLine="420"/>
        <w:rPr>
          <w:lang w:val="en-US"/>
        </w:rPr>
      </w:pPr>
      <w:r>
        <w:rPr>
          <w:rFonts w:hint="eastAsia"/>
          <w:lang w:val="en-US"/>
        </w:rPr>
        <w:t>本报告内容由</w:t>
      </w:r>
      <w:bookmarkStart w:id="39" w:name="软件全称＃2"/>
      <w:r>
        <w:rPr>
          <w:rFonts w:hint="eastAsia"/>
          <w:lang w:val="en-US"/>
        </w:rPr>
        <w:t>建筑碳排放CEEB2025计算并输出，建筑碳排放CEEB以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pPr>
        <w:pStyle w:val="2"/>
      </w:pPr>
      <w:bookmarkStart w:id="40" w:name="_Toc17240"/>
      <w:r>
        <w:rPr>
          <w:rFonts w:hint="eastAsia"/>
        </w:rPr>
        <w:t>气象数据</w:t>
      </w:r>
      <w:bookmarkEnd w:id="40"/>
    </w:p>
    <w:p>
      <w:pPr>
        <w:pStyle w:val="4"/>
      </w:pPr>
      <w:bookmarkStart w:id="41" w:name="_Toc18263"/>
      <w:r>
        <w:rPr>
          <w:rFonts w:hint="eastAsia"/>
        </w:rPr>
        <w:t>逐日干球温度表</w:t>
      </w:r>
      <w:bookmarkEnd w:id="41"/>
    </w:p>
    <w:p>
      <w:pPr>
        <w:pStyle w:val="3"/>
        <w:ind w:firstLine="0" w:firstLineChars="0"/>
        <w:rPr>
          <w:lang w:val="en-US"/>
        </w:rPr>
      </w:pPr>
      <w:bookmarkStart w:id="42" w:name="日均干球温度变化表"/>
      <w:bookmarkEnd w:id="42"/>
      <w:r>
        <w:drawing>
          <wp:inline distT="0" distB="0" distL="0" distR="0">
            <wp:extent cx="5667375" cy="28003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00350"/>
                    </a:xfrm>
                    <a:prstGeom prst="rect">
                      <a:avLst/>
                    </a:prstGeom>
                  </pic:spPr>
                </pic:pic>
              </a:graphicData>
            </a:graphic>
          </wp:inline>
        </w:drawing>
      </w:r>
    </w:p>
    <w:p>
      <w:pPr>
        <w:pStyle w:val="4"/>
      </w:pPr>
      <w:bookmarkStart w:id="43" w:name="_Toc27302"/>
      <w:r>
        <w:rPr>
          <w:rFonts w:hint="eastAsia"/>
        </w:rPr>
        <w:t>逐月辐照量表</w:t>
      </w:r>
      <w:bookmarkEnd w:id="43"/>
    </w:p>
    <w:p>
      <w:pPr>
        <w:pStyle w:val="3"/>
        <w:ind w:firstLine="0" w:firstLineChars="0"/>
        <w:rPr>
          <w:lang w:val="en-US"/>
        </w:rPr>
      </w:pPr>
      <w:bookmarkStart w:id="44" w:name="逐月辐照量图表"/>
      <w:bookmarkEnd w:id="44"/>
      <w:r>
        <w:drawing>
          <wp:inline distT="0" distB="0" distL="0" distR="0">
            <wp:extent cx="5667375" cy="25336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533650"/>
                    </a:xfrm>
                    <a:prstGeom prst="rect">
                      <a:avLst/>
                    </a:prstGeom>
                  </pic:spPr>
                </pic:pic>
              </a:graphicData>
            </a:graphic>
          </wp:inline>
        </w:drawing>
      </w:r>
    </w:p>
    <w:p>
      <w:pPr>
        <w:pStyle w:val="4"/>
      </w:pPr>
      <w:bookmarkStart w:id="45" w:name="_Toc1542"/>
      <w:r>
        <w:rPr>
          <w:rFonts w:hint="eastAsia"/>
        </w:rPr>
        <w:t>峰值工况</w:t>
      </w:r>
      <w:bookmarkEnd w:id="4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07月11日14时</w:t>
            </w:r>
          </w:p>
        </w:tc>
        <w:tc>
          <w:tcPr>
            <w:vAlign w:val="center"/>
          </w:tcPr>
          <w:p>
            <w:r>
              <w:t>37.8</w:t>
            </w:r>
          </w:p>
        </w:tc>
        <w:tc>
          <w:tcPr>
            <w:vAlign w:val="center"/>
          </w:tcPr>
          <w:p>
            <w:r>
              <w:t>26.1</w:t>
            </w:r>
          </w:p>
        </w:tc>
        <w:tc>
          <w:tcPr>
            <w:vAlign w:val="center"/>
          </w:tcPr>
          <w:p>
            <w:r>
              <w:t>17.1</w:t>
            </w:r>
          </w:p>
        </w:tc>
        <w:tc>
          <w:tcPr>
            <w:vAlign w:val="center"/>
          </w:tcPr>
          <w:p>
            <w:r>
              <w:t>81.9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01月16日06时</w:t>
            </w:r>
          </w:p>
        </w:tc>
        <w:tc>
          <w:tcPr>
            <w:vAlign w:val="center"/>
          </w:tcPr>
          <w:p>
            <w:r>
              <w:t>1.7</w:t>
            </w:r>
          </w:p>
        </w:tc>
        <w:tc>
          <w:tcPr>
            <w:vAlign w:val="center"/>
          </w:tcPr>
          <w:p>
            <w:r>
              <w:t>1.1</w:t>
            </w:r>
          </w:p>
        </w:tc>
        <w:tc>
          <w:tcPr>
            <w:vAlign w:val="center"/>
          </w:tcPr>
          <w:p>
            <w:r>
              <w:t>3.8</w:t>
            </w:r>
          </w:p>
        </w:tc>
        <w:tc>
          <w:tcPr>
            <w:vAlign w:val="center"/>
          </w:tcPr>
          <w:p>
            <w:r>
              <w:t>11.2</w:t>
            </w:r>
          </w:p>
        </w:tc>
      </w:tr>
    </w:tbl>
    <w:p>
      <w:pPr>
        <w:pStyle w:val="2"/>
        <w:widowControl w:val="0"/>
        <w:jc w:val="both"/>
      </w:pPr>
      <w:bookmarkStart w:id="46" w:name="气象峰值工况"/>
      <w:bookmarkEnd w:id="46"/>
      <w:bookmarkStart w:id="47" w:name="_Toc10860"/>
      <w:r>
        <w:t>建筑大样</w:t>
      </w:r>
      <w:bookmarkEnd w:id="47"/>
    </w:p>
    <w:p>
      <w:pPr>
        <w:widowControl w:val="0"/>
        <w:jc w:val="center"/>
      </w:pPr>
      <w:r>
        <w:drawing>
          <wp:inline distT="0" distB="0" distL="0" distR="0">
            <wp:extent cx="5667375" cy="4448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448175"/>
                    </a:xfrm>
                    <a:prstGeom prst="rect">
                      <a:avLst/>
                    </a:prstGeom>
                  </pic:spPr>
                </pic:pic>
              </a:graphicData>
            </a:graphic>
          </wp:inline>
        </w:drawing>
      </w:r>
    </w:p>
    <w:p>
      <w:pPr>
        <w:widowControl w:val="0"/>
        <w:jc w:val="center"/>
      </w:pPr>
      <w:r>
        <w:t>西南轴侧图</w:t>
      </w:r>
    </w:p>
    <w:p>
      <w:pPr>
        <w:widowControl w:val="0"/>
        <w:jc w:val="center"/>
      </w:pPr>
      <w:r>
        <w:drawing>
          <wp:inline distT="0" distB="0" distL="0" distR="0">
            <wp:extent cx="5667375" cy="4448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448175"/>
                    </a:xfrm>
                    <a:prstGeom prst="rect">
                      <a:avLst/>
                    </a:prstGeom>
                  </pic:spPr>
                </pic:pic>
              </a:graphicData>
            </a:graphic>
          </wp:inline>
        </w:drawing>
      </w:r>
    </w:p>
    <w:p>
      <w:pPr>
        <w:widowControl w:val="0"/>
        <w:jc w:val="center"/>
      </w:pPr>
      <w:r>
        <w:t>东北轴侧图</w:t>
      </w:r>
    </w:p>
    <w:p>
      <w:pPr>
        <w:widowControl w:val="0"/>
        <w:jc w:val="center"/>
      </w:pPr>
      <w:r>
        <w:drawing>
          <wp:inline distT="0" distB="0" distL="0" distR="0">
            <wp:extent cx="5667375" cy="44481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448175"/>
                    </a:xfrm>
                    <a:prstGeom prst="rect">
                      <a:avLst/>
                    </a:prstGeom>
                  </pic:spPr>
                </pic:pic>
              </a:graphicData>
            </a:graphic>
          </wp:inline>
        </w:drawing>
      </w:r>
    </w:p>
    <w:p>
      <w:pPr>
        <w:widowControl w:val="0"/>
        <w:jc w:val="center"/>
      </w:pPr>
      <w:r>
        <w:t>前视图</w:t>
      </w:r>
    </w:p>
    <w:p>
      <w:pPr>
        <w:widowControl w:val="0"/>
        <w:jc w:val="center"/>
      </w:pPr>
      <w:r>
        <w:drawing>
          <wp:inline distT="0" distB="0" distL="0" distR="0">
            <wp:extent cx="5667375" cy="44481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448175"/>
                    </a:xfrm>
                    <a:prstGeom prst="rect">
                      <a:avLst/>
                    </a:prstGeom>
                  </pic:spPr>
                </pic:pic>
              </a:graphicData>
            </a:graphic>
          </wp:inline>
        </w:drawing>
      </w:r>
    </w:p>
    <w:p>
      <w:pPr>
        <w:widowControl w:val="0"/>
        <w:jc w:val="center"/>
      </w:pPr>
      <w:r>
        <w:t>后视图</w:t>
      </w:r>
    </w:p>
    <w:p>
      <w:pPr>
        <w:pStyle w:val="2"/>
        <w:widowControl w:val="0"/>
        <w:jc w:val="both"/>
      </w:pPr>
      <w:bookmarkStart w:id="48" w:name="_Toc1631"/>
      <w:r>
        <w:t>围护结构</w:t>
      </w:r>
      <w:bookmarkEnd w:id="48"/>
    </w:p>
    <w:p>
      <w:pPr>
        <w:pStyle w:val="4"/>
        <w:widowControl w:val="0"/>
        <w:jc w:val="both"/>
      </w:pPr>
      <w:bookmarkStart w:id="49" w:name="_Toc20740"/>
      <w:r>
        <w:t>工程材料</w:t>
      </w:r>
      <w:bookmarkEnd w:id="49"/>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石材幕墙饰面</w:t>
            </w:r>
          </w:p>
        </w:tc>
        <w:tc>
          <w:tcPr>
            <w:vAlign w:val="center"/>
          </w:tcPr>
          <w:p>
            <w:pPr>
              <w:jc w:val="right"/>
            </w:pPr>
            <w:r>
              <w:t>1.740</w:t>
            </w:r>
          </w:p>
        </w:tc>
        <w:tc>
          <w:tcPr>
            <w:vAlign w:val="center"/>
          </w:tcPr>
          <w:p>
            <w:pPr>
              <w:jc w:val="right"/>
            </w:pPr>
            <w:r>
              <w:t>17.200</w:t>
            </w:r>
          </w:p>
        </w:tc>
        <w:tc>
          <w:tcPr>
            <w:vAlign w:val="center"/>
          </w:tcPr>
          <w:p>
            <w:pPr>
              <w:jc w:val="right"/>
            </w:pPr>
            <w:r>
              <w:t>1500.0</w:t>
            </w:r>
          </w:p>
        </w:tc>
        <w:tc>
          <w:tcPr>
            <w:vAlign w:val="center"/>
          </w:tcPr>
          <w:p>
            <w:pPr>
              <w:jc w:val="right"/>
            </w:pPr>
            <w:r>
              <w:t>2916.2</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轻集料混凝土2%找坡层</w:t>
            </w:r>
          </w:p>
        </w:tc>
        <w:tc>
          <w:tcPr>
            <w:vAlign w:val="center"/>
          </w:tcPr>
          <w:p>
            <w:pPr>
              <w:jc w:val="right"/>
            </w:pPr>
            <w:r>
              <w:t>0.450</w:t>
            </w:r>
          </w:p>
        </w:tc>
        <w:tc>
          <w:tcPr>
            <w:vAlign w:val="center"/>
          </w:tcPr>
          <w:p>
            <w:pPr>
              <w:jc w:val="right"/>
            </w:pPr>
            <w:r>
              <w:t>7.500</w:t>
            </w:r>
          </w:p>
        </w:tc>
        <w:tc>
          <w:tcPr>
            <w:vAlign w:val="center"/>
          </w:tcPr>
          <w:p>
            <w:pPr>
              <w:jc w:val="right"/>
            </w:pPr>
            <w:r>
              <w:t>1600.0</w:t>
            </w:r>
          </w:p>
        </w:tc>
        <w:tc>
          <w:tcPr>
            <w:vAlign w:val="center"/>
          </w:tcPr>
          <w:p>
            <w:pPr>
              <w:jc w:val="right"/>
            </w:pPr>
            <w:r>
              <w:t>1074.3</w:t>
            </w:r>
          </w:p>
        </w:tc>
        <w:tc>
          <w:tcPr>
            <w:vAlign w:val="center"/>
          </w:tcPr>
          <w:p>
            <w:pPr>
              <w:jc w:val="right"/>
            </w:pPr>
            <w:r>
              <w:t>0.0158</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w:t>
            </w:r>
          </w:p>
        </w:tc>
        <w:tc>
          <w:tcPr>
            <w:vAlign w:val="center"/>
          </w:tcPr>
          <w:p>
            <w:pPr>
              <w:jc w:val="right"/>
            </w:pPr>
            <w:r>
              <w:t>1.740</w:t>
            </w:r>
          </w:p>
        </w:tc>
        <w:tc>
          <w:tcPr>
            <w:vAlign w:val="center"/>
          </w:tcPr>
          <w:p>
            <w:pPr>
              <w:jc w:val="right"/>
            </w:pPr>
            <w:r>
              <w:t>17.200</w:t>
            </w:r>
          </w:p>
        </w:tc>
        <w:tc>
          <w:tcPr>
            <w:vAlign w:val="center"/>
          </w:tcPr>
          <w:p>
            <w:pPr>
              <w:jc w:val="right"/>
            </w:pPr>
            <w:r>
              <w:t>2300.0</w:t>
            </w:r>
          </w:p>
        </w:tc>
        <w:tc>
          <w:tcPr>
            <w:vAlign w:val="center"/>
          </w:tcPr>
          <w:p>
            <w:pPr>
              <w:jc w:val="right"/>
            </w:pPr>
            <w:r>
              <w:t>1016.5</w:t>
            </w:r>
          </w:p>
        </w:tc>
        <w:tc>
          <w:tcPr>
            <w:vAlign w:val="center"/>
          </w:tcPr>
          <w:p>
            <w:pPr>
              <w:jc w:val="right"/>
            </w:pPr>
            <w:r>
              <w:t>0.0173</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w:t>
            </w:r>
          </w:p>
        </w:tc>
        <w:tc>
          <w:tcPr>
            <w:vAlign w:val="center"/>
          </w:tcPr>
          <w:p>
            <w:pPr>
              <w:jc w:val="right"/>
            </w:pPr>
            <w:r>
              <w:t>0.810</w:t>
            </w:r>
          </w:p>
        </w:tc>
        <w:tc>
          <w:tcPr>
            <w:vAlign w:val="center"/>
          </w:tcPr>
          <w:p>
            <w:pPr>
              <w:jc w:val="right"/>
            </w:pPr>
            <w:r>
              <w:t>10.070</w:t>
            </w:r>
          </w:p>
        </w:tc>
        <w:tc>
          <w:tcPr>
            <w:vAlign w:val="center"/>
          </w:tcPr>
          <w:p>
            <w:pPr>
              <w:jc w:val="right"/>
            </w:pPr>
            <w:r>
              <w:t>1600.0</w:t>
            </w:r>
          </w:p>
        </w:tc>
        <w:tc>
          <w:tcPr>
            <w:vAlign w:val="center"/>
          </w:tcPr>
          <w:p>
            <w:pPr>
              <w:jc w:val="right"/>
            </w:pPr>
            <w:r>
              <w:t>1050.0</w:t>
            </w:r>
          </w:p>
        </w:tc>
        <w:tc>
          <w:tcPr>
            <w:vAlign w:val="center"/>
          </w:tcPr>
          <w:p>
            <w:pPr>
              <w:jc w:val="right"/>
            </w:pPr>
            <w:r>
              <w:t>0.0443</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挤塑聚苯乙烯泡沫塑料板</w:t>
            </w:r>
          </w:p>
        </w:tc>
        <w:tc>
          <w:tcPr>
            <w:vAlign w:val="center"/>
          </w:tcPr>
          <w:p>
            <w:pPr>
              <w:jc w:val="right"/>
            </w:pPr>
            <w:r>
              <w:t>0.030</w:t>
            </w:r>
          </w:p>
        </w:tc>
        <w:tc>
          <w:tcPr>
            <w:vAlign w:val="center"/>
          </w:tcPr>
          <w:p>
            <w:pPr>
              <w:jc w:val="right"/>
            </w:pPr>
            <w:r>
              <w:t>0.340</w:t>
            </w:r>
          </w:p>
        </w:tc>
        <w:tc>
          <w:tcPr>
            <w:vAlign w:val="center"/>
          </w:tcPr>
          <w:p>
            <w:pPr>
              <w:jc w:val="right"/>
            </w:pPr>
            <w:r>
              <w:t>35.0</w:t>
            </w:r>
          </w:p>
        </w:tc>
        <w:tc>
          <w:tcPr>
            <w:vAlign w:val="center"/>
          </w:tcPr>
          <w:p>
            <w:pPr>
              <w:jc w:val="right"/>
            </w:pPr>
            <w:r>
              <w:t>1380.0</w:t>
            </w:r>
          </w:p>
        </w:tc>
        <w:tc>
          <w:tcPr>
            <w:vAlign w:val="center"/>
          </w:tcPr>
          <w:p>
            <w:pPr>
              <w:jc w:val="right"/>
            </w:pPr>
            <w:r>
              <w:t>0.0162</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蒸压加气混凝土砌块(ρ=600)</w:t>
            </w:r>
          </w:p>
        </w:tc>
        <w:tc>
          <w:tcPr>
            <w:vAlign w:val="center"/>
          </w:tcPr>
          <w:p>
            <w:pPr>
              <w:jc w:val="right"/>
            </w:pPr>
            <w:r>
              <w:t>0.160</w:t>
            </w:r>
          </w:p>
        </w:tc>
        <w:tc>
          <w:tcPr>
            <w:vAlign w:val="center"/>
          </w:tcPr>
          <w:p>
            <w:pPr>
              <w:jc w:val="right"/>
            </w:pPr>
            <w:r>
              <w:t>3.200</w:t>
            </w:r>
          </w:p>
        </w:tc>
        <w:tc>
          <w:tcPr>
            <w:vAlign w:val="center"/>
          </w:tcPr>
          <w:p>
            <w:pPr>
              <w:jc w:val="right"/>
            </w:pPr>
            <w:r>
              <w:t>600.0</w:t>
            </w:r>
          </w:p>
        </w:tc>
        <w:tc>
          <w:tcPr>
            <w:vAlign w:val="center"/>
          </w:tcPr>
          <w:p>
            <w:pPr>
              <w:jc w:val="right"/>
            </w:pPr>
            <w:r>
              <w:t>1466.8</w:t>
            </w:r>
          </w:p>
        </w:tc>
        <w:tc>
          <w:tcPr>
            <w:vAlign w:val="center"/>
          </w:tcPr>
          <w:p>
            <w:pPr>
              <w:jc w:val="right"/>
            </w:pPr>
            <w:r>
              <w:t>0.1110</w:t>
            </w:r>
          </w:p>
        </w:tc>
        <w:tc>
          <w:tcPr>
            <w:vAlign w:val="center"/>
          </w:tcPr>
          <w:p>
            <w:r>
              <w:rPr>
                <w:sz w:val="18"/>
                <w:szCs w:val="18"/>
              </w:rPr>
              <w:t>闽 2015-J-39</w:t>
            </w:r>
          </w:p>
        </w:tc>
      </w:tr>
    </w:tbl>
    <w:p>
      <w:pPr>
        <w:pStyle w:val="4"/>
        <w:widowControl w:val="0"/>
        <w:jc w:val="both"/>
      </w:pPr>
      <w:bookmarkStart w:id="50" w:name="_Toc26567"/>
      <w:r>
        <w:t>围护结构作法简要说明</w:t>
      </w:r>
      <w:bookmarkEnd w:id="50"/>
    </w:p>
    <w:p>
      <w:pPr>
        <w:widowControl w:val="0"/>
        <w:jc w:val="both"/>
      </w:pPr>
      <w:r>
        <w:rPr>
          <w:b/>
          <w:color w:val="000000"/>
          <w:sz w:val="24"/>
          <w:szCs w:val="24"/>
        </w:rPr>
        <w:t>1. 屋顶：</w:t>
      </w:r>
      <w:r>
        <w:rPr>
          <w:color w:val="0000FF"/>
        </w:rPr>
        <w:t>屋顶构造一 (K=0.391,D=3.285)：</w:t>
      </w:r>
      <w:r>
        <w:rPr>
          <w:color w:val="000000"/>
        </w:rPr>
        <w:t>（由上到下）</w:t>
      </w:r>
    </w:p>
    <w:p>
      <w:pPr>
        <w:widowControl w:val="0"/>
        <w:jc w:val="both"/>
      </w:pPr>
      <w:r>
        <w:t xml:space="preserve">    </w:t>
      </w:r>
      <w:r>
        <w:rPr>
          <w:color w:val="000000"/>
        </w:rPr>
        <w:t>C20细石混凝土 40mm＋石材幕墙饰面 10mm＋</w:t>
      </w:r>
      <w:r>
        <w:rPr>
          <w:color w:val="800000"/>
        </w:rPr>
        <w:t>挤塑聚苯乙烯泡沫塑料板 80mm</w:t>
      </w:r>
      <w:r>
        <w:rPr>
          <w:color w:val="000000"/>
        </w:rPr>
        <w:t>＋石材幕墙饰面 20mm＋轻集料混凝土2%找坡层 30mm＋</w:t>
      </w:r>
      <w:r>
        <w:rPr>
          <w:color w:val="800080"/>
        </w:rPr>
        <w:t>钢筋混凝土 120mm</w:t>
      </w:r>
    </w:p>
    <w:p>
      <w:pPr>
        <w:widowControl w:val="0"/>
        <w:jc w:val="both"/>
        <w:rPr>
          <w:color w:val="000000"/>
        </w:rPr>
      </w:pPr>
      <w:r>
        <w:rPr>
          <w:b/>
          <w:color w:val="000000"/>
          <w:sz w:val="24"/>
          <w:szCs w:val="24"/>
        </w:rPr>
        <w:t>2. 外墙：</w:t>
      </w:r>
      <w:r>
        <w:rPr>
          <w:color w:val="0000FF"/>
        </w:rPr>
        <w:t>外墙（填充墙）构造一 (K=0.836,D=4.446)：</w:t>
      </w:r>
      <w:r>
        <w:rPr>
          <w:color w:val="000000"/>
        </w:rPr>
        <w:t>（由外到内）</w:t>
      </w:r>
    </w:p>
    <w:p>
      <w:pPr>
        <w:widowControl w:val="0"/>
        <w:jc w:val="both"/>
        <w:rPr>
          <w:color w:val="000000"/>
        </w:rPr>
      </w:pPr>
      <w:r>
        <w:rPr>
          <w:color w:val="000000"/>
        </w:rPr>
        <w:t xml:space="preserve">    石材幕墙饰面 20mm＋</w:t>
      </w:r>
      <w:r>
        <w:rPr>
          <w:color w:val="800000"/>
        </w:rPr>
        <w:t>蒸压加气混凝土砌块(ρ=600) 200mm</w:t>
      </w:r>
      <w:r>
        <w:rPr>
          <w:color w:val="000000"/>
        </w:rPr>
        <w:t>＋石灰砂浆 20mm</w:t>
      </w:r>
    </w:p>
    <w:p>
      <w:pPr>
        <w:widowControl w:val="0"/>
        <w:jc w:val="both"/>
        <w:rPr>
          <w:color w:val="000000"/>
        </w:rPr>
      </w:pPr>
      <w:r>
        <w:rPr>
          <w:b/>
          <w:color w:val="000000"/>
          <w:sz w:val="24"/>
          <w:szCs w:val="24"/>
        </w:rPr>
        <w:t>3. 天窗：</w:t>
      </w:r>
      <w:r>
        <w:rPr>
          <w:color w:val="0000FF"/>
        </w:rPr>
        <w:t>断热铝合金窗--5低透光单银Low-E玻璃+12空气+5透明玻璃 (K=2.460)：</w:t>
      </w:r>
    </w:p>
    <w:p>
      <w:pPr>
        <w:widowControl w:val="0"/>
        <w:jc w:val="both"/>
        <w:rPr>
          <w:color w:val="000000"/>
        </w:rPr>
      </w:pPr>
      <w:r>
        <w:rPr>
          <w:color w:val="000000"/>
        </w:rPr>
        <w:t xml:space="preserve">    传热系数2.460W/㎡.K，窗太阳得热系数0.210</w:t>
      </w:r>
    </w:p>
    <w:p>
      <w:pPr>
        <w:widowControl w:val="0"/>
        <w:jc w:val="both"/>
        <w:rPr>
          <w:color w:val="000000"/>
        </w:rPr>
      </w:pPr>
      <w:r>
        <w:rPr>
          <w:b/>
          <w:color w:val="000000"/>
          <w:sz w:val="24"/>
          <w:szCs w:val="24"/>
        </w:rPr>
        <w:t>4. 外窗：</w:t>
      </w:r>
      <w:r>
        <w:rPr>
          <w:color w:val="0000FF"/>
        </w:rPr>
        <w:t>铝合金窗--6高透光单银Low+12空气+6透明玻璃 (K=2.730)：</w:t>
      </w:r>
    </w:p>
    <w:p>
      <w:pPr>
        <w:widowControl w:val="0"/>
        <w:jc w:val="both"/>
        <w:rPr>
          <w:color w:val="000000"/>
        </w:rPr>
      </w:pPr>
      <w:r>
        <w:rPr>
          <w:color w:val="000000"/>
        </w:rPr>
        <w:t xml:space="preserve">    传热系数2.730W/㎡.K，窗太阳得热系数0.461</w:t>
      </w:r>
    </w:p>
    <w:p>
      <w:pPr>
        <w:pStyle w:val="2"/>
        <w:widowControl w:val="0"/>
        <w:jc w:val="both"/>
        <w:rPr>
          <w:color w:val="000000"/>
        </w:rPr>
      </w:pPr>
      <w:bookmarkStart w:id="51" w:name="_Toc18643"/>
      <w:r>
        <w:rPr>
          <w:color w:val="000000"/>
        </w:rPr>
        <w:t>围护结构概况</w:t>
      </w:r>
      <w:bookmarkEnd w:id="51"/>
    </w:p>
    <w:p/>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0.10</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0.39</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3.29</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0.84</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4.45</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2.46</w:t>
            </w:r>
          </w:p>
          <w:p>
            <w:pPr>
              <w:jc w:val="center"/>
              <w:rPr>
                <w:rFonts w:eastAsia="宋体"/>
                <w:bCs/>
                <w:sz w:val="21"/>
                <w:szCs w:val="21"/>
                <w:lang w:eastAsia="zh-CN"/>
              </w:rPr>
            </w:pPr>
            <w:r>
              <w:rPr>
                <w:rFonts w:eastAsia="宋体"/>
                <w:bCs/>
                <w:sz w:val="21"/>
                <w:szCs w:val="21"/>
                <w:lang w:eastAsia="zh-CN"/>
              </w:rPr>
              <w:t>SHGC=</w:t>
            </w:r>
            <w:r>
              <w:rPr>
                <w:rFonts w:hint="eastAsia" w:eastAsia="宋体"/>
                <w:bCs/>
                <w:sz w:val="21"/>
                <w:szCs w:val="21"/>
                <w:lang w:eastAsia="zh-CN"/>
              </w:rPr>
              <w:t>0.21</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SHGC=</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东向</w:t>
            </w:r>
          </w:p>
        </w:tc>
        <w:tc>
          <w:tcPr>
            <w:tcW w:w="937" w:type="pct"/>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0.12</w:t>
            </w:r>
          </w:p>
        </w:tc>
        <w:tc>
          <w:tcPr>
            <w:tcW w:w="501" w:type="pct"/>
            <w:vAlign w:val="center"/>
          </w:tcPr>
          <w:p>
            <w:pPr>
              <w:jc w:val="center"/>
              <w:rPr>
                <w:rFonts w:eastAsia="宋体"/>
                <w:bCs/>
                <w:sz w:val="21"/>
                <w:szCs w:val="21"/>
                <w:lang w:eastAsia="zh-CN"/>
              </w:rPr>
            </w:pPr>
            <w:r>
              <w:rPr>
                <w:rFonts w:eastAsia="宋体"/>
                <w:bCs/>
                <w:sz w:val="21"/>
                <w:szCs w:val="21"/>
                <w:lang w:eastAsia="zh-CN"/>
              </w:rPr>
              <w:t>2.73</w:t>
            </w:r>
          </w:p>
        </w:tc>
        <w:tc>
          <w:tcPr>
            <w:tcW w:w="585" w:type="pct"/>
            <w:vAlign w:val="center"/>
          </w:tcPr>
          <w:p>
            <w:pPr>
              <w:jc w:val="center"/>
              <w:rPr>
                <w:rFonts w:eastAsia="宋体"/>
                <w:bCs/>
                <w:sz w:val="21"/>
                <w:szCs w:val="21"/>
                <w:lang w:eastAsia="zh-CN"/>
              </w:rPr>
            </w:pPr>
            <w:r>
              <w:rPr>
                <w:rFonts w:eastAsia="宋体"/>
                <w:bCs/>
                <w:sz w:val="21"/>
                <w:szCs w:val="21"/>
                <w:lang w:eastAsia="zh-CN"/>
              </w:rPr>
              <w:t>0.37</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0.13</w:t>
            </w:r>
          </w:p>
        </w:tc>
        <w:tc>
          <w:tcPr>
            <w:tcW w:w="501" w:type="pct"/>
            <w:vAlign w:val="center"/>
          </w:tcPr>
          <w:p>
            <w:pPr>
              <w:jc w:val="center"/>
              <w:rPr>
                <w:rFonts w:eastAsia="宋体"/>
                <w:bCs/>
                <w:sz w:val="21"/>
                <w:szCs w:val="21"/>
                <w:lang w:eastAsia="zh-CN"/>
              </w:rPr>
            </w:pPr>
            <w:r>
              <w:rPr>
                <w:rFonts w:eastAsia="宋体"/>
                <w:bCs/>
                <w:sz w:val="21"/>
                <w:szCs w:val="21"/>
                <w:lang w:eastAsia="zh-CN"/>
              </w:rPr>
              <w:t>2.73</w:t>
            </w:r>
          </w:p>
        </w:tc>
        <w:tc>
          <w:tcPr>
            <w:tcW w:w="585" w:type="pct"/>
            <w:vAlign w:val="center"/>
          </w:tcPr>
          <w:p>
            <w:pPr>
              <w:jc w:val="center"/>
              <w:rPr>
                <w:rFonts w:eastAsia="宋体"/>
                <w:bCs/>
                <w:sz w:val="21"/>
                <w:szCs w:val="21"/>
                <w:lang w:eastAsia="zh-CN"/>
              </w:rPr>
            </w:pPr>
            <w:r>
              <w:rPr>
                <w:rFonts w:eastAsia="宋体"/>
                <w:bCs/>
                <w:sz w:val="21"/>
                <w:szCs w:val="21"/>
                <w:lang w:eastAsia="zh-CN"/>
              </w:rPr>
              <w:t>0.38</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p>
        </w:tc>
        <w:tc>
          <w:tcPr>
            <w:tcW w:w="937" w:type="pct"/>
            <w:shd w:val="clear" w:color="auto" w:fill="auto"/>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85" w:type="pct"/>
            <w:vAlign w:val="center"/>
          </w:tcPr>
          <w:p>
            <w:pPr>
              <w:jc w:val="center"/>
              <w:rPr>
                <w:rFonts w:eastAsia="宋体"/>
                <w:bCs/>
                <w:sz w:val="21"/>
                <w:szCs w:val="21"/>
                <w:lang w:eastAsia="zh-CN"/>
              </w:rPr>
            </w:pP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p>
        </w:tc>
        <w:tc>
          <w:tcPr>
            <w:tcW w:w="937" w:type="pct"/>
            <w:shd w:val="clear" w:color="auto" w:fill="auto"/>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85" w:type="pct"/>
            <w:vAlign w:val="center"/>
          </w:tcPr>
          <w:p>
            <w:pPr>
              <w:jc w:val="center"/>
              <w:rPr>
                <w:rFonts w:eastAsia="宋体"/>
                <w:bCs/>
                <w:sz w:val="21"/>
                <w:szCs w:val="21"/>
                <w:lang w:eastAsia="zh-CN"/>
              </w:rPr>
            </w:pP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pPr>
        <w:widowControl w:val="0"/>
        <w:jc w:val="both"/>
        <w:rPr>
          <w:color w:val="000000"/>
        </w:rPr>
      </w:pPr>
    </w:p>
    <w:p>
      <w:pPr>
        <w:pStyle w:val="2"/>
        <w:widowControl w:val="0"/>
        <w:jc w:val="both"/>
        <w:rPr>
          <w:color w:val="000000"/>
        </w:rPr>
      </w:pPr>
      <w:bookmarkStart w:id="52" w:name="_Toc22880"/>
      <w:r>
        <w:rPr>
          <w:color w:val="000000"/>
        </w:rPr>
        <w:t>房间类型</w:t>
      </w:r>
      <w:bookmarkEnd w:id="52"/>
    </w:p>
    <w:p>
      <w:pPr>
        <w:pStyle w:val="4"/>
        <w:widowControl w:val="0"/>
        <w:jc w:val="both"/>
        <w:rPr>
          <w:color w:val="000000"/>
        </w:rPr>
      </w:pPr>
      <w:bookmarkStart w:id="53" w:name="_Toc24984"/>
      <w:r>
        <w:rPr>
          <w:color w:val="000000"/>
        </w:rPr>
        <w:t>房间参数表</w:t>
      </w:r>
      <w:bookmarkEnd w:id="5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28</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4(W/㎡)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展览馆</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0.05(人)</w:t>
            </w:r>
          </w:p>
        </w:tc>
        <w:tc>
          <w:tcPr>
            <w:vAlign w:val="center"/>
          </w:tcPr>
          <w:p>
            <w:pPr>
              <w:jc w:val="center"/>
            </w:pPr>
            <w:r>
              <w:t>5(W/㎡)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0.03(人/㎡)</w:t>
            </w:r>
          </w:p>
        </w:tc>
        <w:tc>
          <w:tcPr>
            <w:vAlign w:val="center"/>
          </w:tcPr>
          <w:p>
            <w:pPr>
              <w:jc w:val="center"/>
            </w:pPr>
            <w:r>
              <w:t>3.5(W/㎡)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连接通道</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bl>
    <w:p>
      <w:pPr>
        <w:pStyle w:val="4"/>
        <w:widowControl w:val="0"/>
        <w:jc w:val="both"/>
        <w:rPr>
          <w:color w:val="000000"/>
        </w:rPr>
      </w:pPr>
      <w:bookmarkStart w:id="54" w:name="_Toc23685"/>
      <w:r>
        <w:rPr>
          <w:color w:val="000000"/>
        </w:rPr>
        <w:t>作息时间表</w:t>
      </w:r>
      <w:bookmarkEnd w:id="54"/>
    </w:p>
    <w:p>
      <w:pPr>
        <w:widowControl w:val="0"/>
        <w:jc w:val="both"/>
        <w:rPr>
          <w:color w:val="000000"/>
        </w:rPr>
      </w:pPr>
      <w:r>
        <w:rPr>
          <w:color w:val="000000"/>
        </w:rPr>
        <w:t>详见附录</w:t>
      </w:r>
    </w:p>
    <w:p>
      <w:pPr>
        <w:pStyle w:val="2"/>
        <w:widowControl w:val="0"/>
        <w:jc w:val="both"/>
        <w:rPr>
          <w:color w:val="000000"/>
        </w:rPr>
      </w:pPr>
      <w:bookmarkStart w:id="55" w:name="_Toc11633"/>
      <w:r>
        <w:rPr>
          <w:color w:val="000000"/>
        </w:rPr>
        <w:t>系统类型</w:t>
      </w:r>
      <w:bookmarkEnd w:id="55"/>
    </w:p>
    <w:p>
      <w:pPr>
        <w:pStyle w:val="4"/>
        <w:widowControl w:val="0"/>
        <w:jc w:val="both"/>
        <w:rPr>
          <w:color w:val="000000"/>
        </w:rPr>
      </w:pPr>
      <w:bookmarkStart w:id="56" w:name="_Toc16453"/>
      <w:r>
        <w:rPr>
          <w:color w:val="000000"/>
        </w:rPr>
        <w:t>系统分区</w:t>
      </w:r>
      <w:bookmarkEnd w:id="5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单元式空调</w:t>
            </w:r>
          </w:p>
        </w:tc>
        <w:tc>
          <w:tcPr>
            <w:vAlign w:val="center"/>
          </w:tcPr>
          <w:p>
            <w:r>
              <w:t>723.68</w:t>
            </w:r>
          </w:p>
        </w:tc>
        <w:tc>
          <w:tcPr>
            <w:vAlign w:val="center"/>
          </w:tcPr>
          <w:p>
            <w:r>
              <w:t>所有房间</w:t>
            </w:r>
          </w:p>
        </w:tc>
      </w:tr>
    </w:tbl>
    <w:p>
      <w:pPr>
        <w:pStyle w:val="4"/>
        <w:widowControl w:val="0"/>
        <w:jc w:val="both"/>
        <w:rPr>
          <w:color w:val="000000"/>
        </w:rPr>
      </w:pPr>
      <w:bookmarkStart w:id="57" w:name="_Toc22258"/>
      <w:r>
        <w:rPr>
          <w:color w:val="000000"/>
        </w:rPr>
        <w:t>热回收参数</w:t>
      </w:r>
      <w:bookmarkEnd w:id="5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无</w:t>
            </w:r>
          </w:p>
        </w:tc>
        <w:tc>
          <w:tcPr>
            <w:vAlign w:val="center"/>
          </w:tcPr>
          <w:p>
            <w:r>
              <w:t>－</w:t>
            </w:r>
          </w:p>
        </w:tc>
        <w:tc>
          <w:tcPr>
            <w:vAlign w:val="center"/>
          </w:tcPr>
          <w:p>
            <w:r>
              <w:t>－</w:t>
            </w:r>
          </w:p>
        </w:tc>
        <w:tc>
          <w:tcPr>
            <w:vAlign w:val="center"/>
          </w:tcPr>
          <w:p>
            <w:r>
              <w:t>－</w:t>
            </w:r>
          </w:p>
        </w:tc>
        <w:tc>
          <w:tcPr>
            <w:vAlign w:val="center"/>
          </w:tcPr>
          <w:p>
            <w:r>
              <w:t>－</w:t>
            </w:r>
          </w:p>
        </w:tc>
      </w:tr>
    </w:tbl>
    <w:p>
      <w:pPr>
        <w:pStyle w:val="2"/>
        <w:widowControl w:val="0"/>
        <w:jc w:val="both"/>
        <w:rPr>
          <w:color w:val="000000"/>
        </w:rPr>
      </w:pPr>
      <w:bookmarkStart w:id="58" w:name="_Toc17819"/>
      <w:r>
        <w:rPr>
          <w:color w:val="000000"/>
        </w:rPr>
        <w:t>制冷系统</w:t>
      </w:r>
      <w:bookmarkEnd w:id="58"/>
    </w:p>
    <w:p>
      <w:pPr>
        <w:pStyle w:val="4"/>
        <w:widowControl w:val="0"/>
        <w:jc w:val="both"/>
        <w:rPr>
          <w:color w:val="000000"/>
        </w:rPr>
      </w:pPr>
      <w:bookmarkStart w:id="59" w:name="_Toc16637"/>
      <w:r>
        <w:rPr>
          <w:color w:val="000000"/>
        </w:rPr>
        <w:t>多联机/单元式空调能耗</w:t>
      </w:r>
      <w:bookmarkEnd w:id="5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制冷SEER</w:t>
            </w:r>
          </w:p>
        </w:tc>
        <w:tc>
          <w:tcPr>
            <w:shd w:val="clear" w:color="auto" w:fill="E6E6E6"/>
            <w:vAlign w:val="center"/>
          </w:tcPr>
          <w:p>
            <w:pPr>
              <w:jc w:val="center"/>
            </w:pPr>
            <w:r>
              <w:t>耗冷量(kWh/a)</w:t>
            </w:r>
          </w:p>
        </w:tc>
        <w:tc>
          <w:tcPr>
            <w:shd w:val="clear" w:color="auto" w:fill="E6E6E6"/>
            <w:vAlign w:val="center"/>
          </w:tcPr>
          <w:p>
            <w:pPr>
              <w:jc w:val="center"/>
            </w:pPr>
            <w:r>
              <w:t>耗电量(kWh/a)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6.00</w:t>
            </w:r>
          </w:p>
        </w:tc>
        <w:tc>
          <w:tcPr>
            <w:vAlign w:val="center"/>
          </w:tcPr>
          <w:p>
            <w:r>
              <w:t>64958</w:t>
            </w:r>
          </w:p>
        </w:tc>
        <w:tc>
          <w:tcPr>
            <w:vAlign w:val="center"/>
          </w:tcPr>
          <w:p>
            <w:r>
              <w:t>10826</w:t>
            </w:r>
          </w:p>
        </w:tc>
        <w:tc>
          <w:tcPr>
            <w:vAlign w:val="center"/>
          </w:tcPr>
          <w:p>
            <w:r>
              <w:t>0.5703</w:t>
            </w:r>
          </w:p>
        </w:tc>
        <w:tc>
          <w:tcPr>
            <w:vAlign w:val="center"/>
          </w:tcPr>
          <w:p>
            <w:r>
              <w:t>6.174</w:t>
            </w:r>
          </w:p>
        </w:tc>
      </w:tr>
    </w:tbl>
    <w:p>
      <w:pPr>
        <w:pStyle w:val="2"/>
        <w:widowControl w:val="0"/>
        <w:jc w:val="both"/>
        <w:rPr>
          <w:color w:val="000000"/>
        </w:rPr>
      </w:pPr>
      <w:bookmarkStart w:id="60" w:name="_Toc6770"/>
      <w:r>
        <w:rPr>
          <w:color w:val="000000"/>
        </w:rPr>
        <w:t>空调风机</w:t>
      </w:r>
      <w:bookmarkEnd w:id="6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独立新排风</w:t>
            </w:r>
          </w:p>
        </w:tc>
        <w:tc>
          <w:tcPr>
            <w:vAlign w:val="center"/>
          </w:tcPr>
          <w:p>
            <w:r>
              <w:t>4084</w:t>
            </w:r>
          </w:p>
        </w:tc>
        <w:tc>
          <w:tcPr>
            <w:vMerge w:val="restart"/>
            <w:vAlign w:val="center"/>
          </w:tcPr>
          <w:p>
            <w:r>
              <w:t>0.5703</w:t>
            </w:r>
          </w:p>
        </w:tc>
        <w:tc>
          <w:tcPr>
            <w:vAlign w:val="center"/>
          </w:tcPr>
          <w:p>
            <w:r>
              <w:t>2.329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风机盘管</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全空气机组</w:t>
            </w:r>
          </w:p>
        </w:tc>
        <w:tc>
          <w:tcPr>
            <w:vAlign w:val="center"/>
          </w:tcPr>
          <w:p>
            <w:r>
              <w:t>0</w:t>
            </w:r>
          </w:p>
        </w:tc>
        <w:tc>
          <w:tcPr>
            <w:vMerge w:val="continue"/>
            <w:vAlign w:val="center"/>
          </w:tcPr>
          <w:p/>
        </w:tc>
        <w:tc>
          <w:tcPr>
            <w:vAlign w:val="center"/>
          </w:tcPr>
          <w:p>
            <w: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2.329</w:t>
            </w:r>
          </w:p>
        </w:tc>
      </w:tr>
    </w:tbl>
    <w:p>
      <w:pPr>
        <w:pStyle w:val="2"/>
        <w:widowControl w:val="0"/>
        <w:jc w:val="both"/>
        <w:rPr>
          <w:color w:val="000000"/>
        </w:rPr>
      </w:pPr>
      <w:bookmarkStart w:id="61" w:name="_Toc1590"/>
      <w:r>
        <w:rPr>
          <w:color w:val="000000"/>
        </w:rPr>
        <w:t>照明</w:t>
      </w:r>
      <w:bookmarkEnd w:id="6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博览-卫生间</w:t>
            </w:r>
          </w:p>
        </w:tc>
        <w:tc>
          <w:tcPr>
            <w:vAlign w:val="center"/>
          </w:tcPr>
          <w:p>
            <w:r>
              <w:t>6.72</w:t>
            </w:r>
          </w:p>
        </w:tc>
        <w:tc>
          <w:tcPr>
            <w:vAlign w:val="center"/>
          </w:tcPr>
          <w:p>
            <w:r>
              <w:t>2</w:t>
            </w:r>
          </w:p>
        </w:tc>
        <w:tc>
          <w:tcPr>
            <w:vAlign w:val="center"/>
          </w:tcPr>
          <w:p>
            <w:r>
              <w:t>9</w:t>
            </w:r>
          </w:p>
        </w:tc>
        <w:tc>
          <w:tcPr>
            <w:vAlign w:val="center"/>
          </w:tcPr>
          <w:p>
            <w:r>
              <w:t>60</w:t>
            </w:r>
          </w:p>
        </w:tc>
        <w:tc>
          <w:tcPr>
            <w:vMerge w:val="restart"/>
            <w:vAlign w:val="center"/>
          </w:tcPr>
          <w:p>
            <w:r>
              <w:t>0.5703</w:t>
            </w:r>
          </w:p>
        </w:tc>
        <w:tc>
          <w:tcPr>
            <w:vAlign w:val="center"/>
          </w:tcPr>
          <w:p>
            <w:r>
              <w:t>0.034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博览-大厅</w:t>
            </w:r>
          </w:p>
        </w:tc>
        <w:tc>
          <w:tcPr>
            <w:vAlign w:val="center"/>
          </w:tcPr>
          <w:p>
            <w:r>
              <w:t>15.12</w:t>
            </w:r>
          </w:p>
        </w:tc>
        <w:tc>
          <w:tcPr>
            <w:vAlign w:val="center"/>
          </w:tcPr>
          <w:p>
            <w:r>
              <w:t>3</w:t>
            </w:r>
          </w:p>
        </w:tc>
        <w:tc>
          <w:tcPr>
            <w:vAlign w:val="center"/>
          </w:tcPr>
          <w:p>
            <w:r>
              <w:t>343</w:t>
            </w:r>
          </w:p>
        </w:tc>
        <w:tc>
          <w:tcPr>
            <w:vAlign w:val="center"/>
          </w:tcPr>
          <w:p>
            <w:r>
              <w:t>5189</w:t>
            </w:r>
          </w:p>
        </w:tc>
        <w:tc>
          <w:tcPr>
            <w:vMerge w:val="continue"/>
            <w:vAlign w:val="center"/>
          </w:tcPr>
          <w:p/>
        </w:tc>
        <w:tc>
          <w:tcPr>
            <w:vAlign w:val="center"/>
          </w:tcPr>
          <w:p>
            <w:r>
              <w:t>2.959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博览-展览馆</w:t>
            </w:r>
          </w:p>
        </w:tc>
        <w:tc>
          <w:tcPr>
            <w:vAlign w:val="center"/>
          </w:tcPr>
          <w:p>
            <w:r>
              <w:t>15.12</w:t>
            </w:r>
          </w:p>
        </w:tc>
        <w:tc>
          <w:tcPr>
            <w:vAlign w:val="center"/>
          </w:tcPr>
          <w:p>
            <w:r>
              <w:t>1</w:t>
            </w:r>
          </w:p>
        </w:tc>
        <w:tc>
          <w:tcPr>
            <w:vAlign w:val="center"/>
          </w:tcPr>
          <w:p>
            <w:r>
              <w:t>391</w:t>
            </w:r>
          </w:p>
        </w:tc>
        <w:tc>
          <w:tcPr>
            <w:vAlign w:val="center"/>
          </w:tcPr>
          <w:p>
            <w:r>
              <w:t>5914</w:t>
            </w:r>
          </w:p>
        </w:tc>
        <w:tc>
          <w:tcPr>
            <w:vMerge w:val="continue"/>
            <w:vAlign w:val="center"/>
          </w:tcPr>
          <w:p/>
        </w:tc>
        <w:tc>
          <w:tcPr>
            <w:vAlign w:val="center"/>
          </w:tcPr>
          <w:p>
            <w:r>
              <w:t>3.373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博览-楼梯间</w:t>
            </w:r>
          </w:p>
        </w:tc>
        <w:tc>
          <w:tcPr>
            <w:vAlign w:val="center"/>
          </w:tcPr>
          <w:p>
            <w:r>
              <w:t>43.80</w:t>
            </w:r>
          </w:p>
        </w:tc>
        <w:tc>
          <w:tcPr>
            <w:vAlign w:val="center"/>
          </w:tcPr>
          <w:p>
            <w:r>
              <w:t>4</w:t>
            </w:r>
          </w:p>
        </w:tc>
        <w:tc>
          <w:tcPr>
            <w:vAlign w:val="center"/>
          </w:tcPr>
          <w:p>
            <w:r>
              <w:t>47</w:t>
            </w:r>
          </w:p>
        </w:tc>
        <w:tc>
          <w:tcPr>
            <w:vAlign w:val="center"/>
          </w:tcPr>
          <w:p>
            <w:r>
              <w:t>2067</w:t>
            </w:r>
          </w:p>
        </w:tc>
        <w:tc>
          <w:tcPr>
            <w:vMerge w:val="continue"/>
            <w:vAlign w:val="center"/>
          </w:tcPr>
          <w:p/>
        </w:tc>
        <w:tc>
          <w:tcPr>
            <w:vAlign w:val="center"/>
          </w:tcPr>
          <w:p>
            <w:r>
              <w:t>1.179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博览-设备间</w:t>
            </w:r>
          </w:p>
        </w:tc>
        <w:tc>
          <w:tcPr>
            <w:vAlign w:val="center"/>
          </w:tcPr>
          <w:p>
            <w:r>
              <w:t>30.66</w:t>
            </w:r>
          </w:p>
        </w:tc>
        <w:tc>
          <w:tcPr>
            <w:vAlign w:val="center"/>
          </w:tcPr>
          <w:p>
            <w:r>
              <w:t>1</w:t>
            </w:r>
          </w:p>
        </w:tc>
        <w:tc>
          <w:tcPr>
            <w:vAlign w:val="center"/>
          </w:tcPr>
          <w:p>
            <w:r>
              <w:t>15</w:t>
            </w:r>
          </w:p>
        </w:tc>
        <w:tc>
          <w:tcPr>
            <w:vAlign w:val="center"/>
          </w:tcPr>
          <w:p>
            <w:r>
              <w:t>455</w:t>
            </w:r>
          </w:p>
        </w:tc>
        <w:tc>
          <w:tcPr>
            <w:vMerge w:val="continue"/>
            <w:vAlign w:val="center"/>
          </w:tcPr>
          <w:p/>
        </w:tc>
        <w:tc>
          <w:tcPr>
            <w:vAlign w:val="center"/>
          </w:tcPr>
          <w:p>
            <w:r>
              <w:t>0.259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博览-连接通道</w:t>
            </w:r>
          </w:p>
        </w:tc>
        <w:tc>
          <w:tcPr>
            <w:vAlign w:val="center"/>
          </w:tcPr>
          <w:p>
            <w:r>
              <w:t>15.12</w:t>
            </w:r>
          </w:p>
        </w:tc>
        <w:tc>
          <w:tcPr>
            <w:vAlign w:val="center"/>
          </w:tcPr>
          <w:p>
            <w:r>
              <w:t>1</w:t>
            </w:r>
          </w:p>
        </w:tc>
        <w:tc>
          <w:tcPr>
            <w:vAlign w:val="center"/>
          </w:tcPr>
          <w:p>
            <w:r>
              <w:t>20</w:t>
            </w:r>
          </w:p>
        </w:tc>
        <w:tc>
          <w:tcPr>
            <w:vAlign w:val="center"/>
          </w:tcPr>
          <w:p>
            <w:r>
              <w:t>297</w:t>
            </w:r>
          </w:p>
        </w:tc>
        <w:tc>
          <w:tcPr>
            <w:vMerge w:val="continue"/>
            <w:vAlign w:val="center"/>
          </w:tcPr>
          <w:p/>
        </w:tc>
        <w:tc>
          <w:tcPr>
            <w:vAlign w:val="center"/>
          </w:tcPr>
          <w:p>
            <w:r>
              <w:t>0.169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7.974</w:t>
            </w:r>
          </w:p>
        </w:tc>
      </w:tr>
    </w:tbl>
    <w:p>
      <w:pPr>
        <w:pStyle w:val="2"/>
        <w:widowControl w:val="0"/>
        <w:jc w:val="both"/>
        <w:rPr>
          <w:color w:val="000000"/>
        </w:rPr>
      </w:pPr>
      <w:bookmarkStart w:id="62" w:name="_Toc2484"/>
      <w:r>
        <w:rPr>
          <w:color w:val="000000"/>
        </w:rPr>
        <w:t>插座设备</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博览-卫生间</w:t>
            </w:r>
          </w:p>
        </w:tc>
        <w:tc>
          <w:tcPr>
            <w:vAlign w:val="center"/>
          </w:tcPr>
          <w:p>
            <w:r>
              <w:t>35.25</w:t>
            </w:r>
          </w:p>
        </w:tc>
        <w:tc>
          <w:tcPr>
            <w:vAlign w:val="center"/>
          </w:tcPr>
          <w:p>
            <w:r>
              <w:t>2</w:t>
            </w:r>
          </w:p>
        </w:tc>
        <w:tc>
          <w:tcPr>
            <w:vAlign w:val="center"/>
          </w:tcPr>
          <w:p>
            <w:r>
              <w:t>9</w:t>
            </w:r>
          </w:p>
        </w:tc>
        <w:tc>
          <w:tcPr>
            <w:vAlign w:val="center"/>
          </w:tcPr>
          <w:p>
            <w:r>
              <w:t>315</w:t>
            </w:r>
          </w:p>
        </w:tc>
        <w:tc>
          <w:tcPr>
            <w:vMerge w:val="restart"/>
            <w:vAlign w:val="center"/>
          </w:tcPr>
          <w:p>
            <w:r>
              <w:t>0.5703</w:t>
            </w:r>
          </w:p>
        </w:tc>
        <w:tc>
          <w:tcPr>
            <w:vAlign w:val="center"/>
          </w:tcPr>
          <w:p>
            <w:r>
              <w:t>0.180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博览-大厅</w:t>
            </w:r>
          </w:p>
        </w:tc>
        <w:tc>
          <w:tcPr>
            <w:vAlign w:val="center"/>
          </w:tcPr>
          <w:p>
            <w:r>
              <w:t>35.25</w:t>
            </w:r>
          </w:p>
        </w:tc>
        <w:tc>
          <w:tcPr>
            <w:vAlign w:val="center"/>
          </w:tcPr>
          <w:p>
            <w:r>
              <w:t>3</w:t>
            </w:r>
          </w:p>
        </w:tc>
        <w:tc>
          <w:tcPr>
            <w:vAlign w:val="center"/>
          </w:tcPr>
          <w:p>
            <w:r>
              <w:t>343</w:t>
            </w:r>
          </w:p>
        </w:tc>
        <w:tc>
          <w:tcPr>
            <w:vAlign w:val="center"/>
          </w:tcPr>
          <w:p>
            <w:r>
              <w:t>12097</w:t>
            </w:r>
          </w:p>
        </w:tc>
        <w:tc>
          <w:tcPr>
            <w:vMerge w:val="continue"/>
            <w:vAlign w:val="center"/>
          </w:tcPr>
          <w:p/>
        </w:tc>
        <w:tc>
          <w:tcPr>
            <w:vAlign w:val="center"/>
          </w:tcPr>
          <w:p>
            <w:r>
              <w:t>6.899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博览-展览馆</w:t>
            </w:r>
          </w:p>
        </w:tc>
        <w:tc>
          <w:tcPr>
            <w:vAlign w:val="center"/>
          </w:tcPr>
          <w:p>
            <w:r>
              <w:t>35.25</w:t>
            </w:r>
          </w:p>
        </w:tc>
        <w:tc>
          <w:tcPr>
            <w:vAlign w:val="center"/>
          </w:tcPr>
          <w:p>
            <w:r>
              <w:t>1</w:t>
            </w:r>
          </w:p>
        </w:tc>
        <w:tc>
          <w:tcPr>
            <w:vAlign w:val="center"/>
          </w:tcPr>
          <w:p>
            <w:r>
              <w:t>391</w:t>
            </w:r>
          </w:p>
        </w:tc>
        <w:tc>
          <w:tcPr>
            <w:vAlign w:val="center"/>
          </w:tcPr>
          <w:p>
            <w:r>
              <w:t>13789</w:t>
            </w:r>
          </w:p>
        </w:tc>
        <w:tc>
          <w:tcPr>
            <w:vMerge w:val="continue"/>
            <w:vAlign w:val="center"/>
          </w:tcPr>
          <w:p/>
        </w:tc>
        <w:tc>
          <w:tcPr>
            <w:vAlign w:val="center"/>
          </w:tcPr>
          <w:p>
            <w:r>
              <w:t>7.864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博览-楼梯间</w:t>
            </w:r>
          </w:p>
        </w:tc>
        <w:tc>
          <w:tcPr>
            <w:vAlign w:val="center"/>
          </w:tcPr>
          <w:p>
            <w:r>
              <w:t>43.80</w:t>
            </w:r>
          </w:p>
        </w:tc>
        <w:tc>
          <w:tcPr>
            <w:vAlign w:val="center"/>
          </w:tcPr>
          <w:p>
            <w:r>
              <w:t>4</w:t>
            </w:r>
          </w:p>
        </w:tc>
        <w:tc>
          <w:tcPr>
            <w:vAlign w:val="center"/>
          </w:tcPr>
          <w:p>
            <w:r>
              <w:t>47</w:t>
            </w:r>
          </w:p>
        </w:tc>
        <w:tc>
          <w:tcPr>
            <w:vAlign w:val="center"/>
          </w:tcPr>
          <w:p>
            <w:r>
              <w:t>2067</w:t>
            </w:r>
          </w:p>
        </w:tc>
        <w:tc>
          <w:tcPr>
            <w:vMerge w:val="continue"/>
            <w:vAlign w:val="center"/>
          </w:tcPr>
          <w:p/>
        </w:tc>
        <w:tc>
          <w:tcPr>
            <w:vAlign w:val="center"/>
          </w:tcPr>
          <w:p>
            <w:r>
              <w:t>1.179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博览-设备间</w:t>
            </w:r>
          </w:p>
        </w:tc>
        <w:tc>
          <w:tcPr>
            <w:vAlign w:val="center"/>
          </w:tcPr>
          <w:p>
            <w:r>
              <w:t>131.40</w:t>
            </w:r>
          </w:p>
        </w:tc>
        <w:tc>
          <w:tcPr>
            <w:vAlign w:val="center"/>
          </w:tcPr>
          <w:p>
            <w:r>
              <w:t>1</w:t>
            </w:r>
          </w:p>
        </w:tc>
        <w:tc>
          <w:tcPr>
            <w:vAlign w:val="center"/>
          </w:tcPr>
          <w:p>
            <w:r>
              <w:t>15</w:t>
            </w:r>
          </w:p>
        </w:tc>
        <w:tc>
          <w:tcPr>
            <w:vAlign w:val="center"/>
          </w:tcPr>
          <w:p>
            <w:r>
              <w:t>1949</w:t>
            </w:r>
          </w:p>
        </w:tc>
        <w:tc>
          <w:tcPr>
            <w:vMerge w:val="continue"/>
            <w:vAlign w:val="center"/>
          </w:tcPr>
          <w:p/>
        </w:tc>
        <w:tc>
          <w:tcPr>
            <w:vAlign w:val="center"/>
          </w:tcPr>
          <w:p>
            <w:r>
              <w:t>1.112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博览-连接通道</w:t>
            </w:r>
          </w:p>
        </w:tc>
        <w:tc>
          <w:tcPr>
            <w:vAlign w:val="center"/>
          </w:tcPr>
          <w:p>
            <w:r>
              <w:t>35.25</w:t>
            </w:r>
          </w:p>
        </w:tc>
        <w:tc>
          <w:tcPr>
            <w:vAlign w:val="center"/>
          </w:tcPr>
          <w:p>
            <w:r>
              <w:t>1</w:t>
            </w:r>
          </w:p>
        </w:tc>
        <w:tc>
          <w:tcPr>
            <w:vAlign w:val="center"/>
          </w:tcPr>
          <w:p>
            <w:r>
              <w:t>20</w:t>
            </w:r>
          </w:p>
        </w:tc>
        <w:tc>
          <w:tcPr>
            <w:vAlign w:val="center"/>
          </w:tcPr>
          <w:p>
            <w:r>
              <w:t>693</w:t>
            </w:r>
          </w:p>
        </w:tc>
        <w:tc>
          <w:tcPr>
            <w:vMerge w:val="continue"/>
            <w:vAlign w:val="center"/>
          </w:tcPr>
          <w:p/>
        </w:tc>
        <w:tc>
          <w:tcPr>
            <w:vAlign w:val="center"/>
          </w:tcPr>
          <w:p>
            <w:r>
              <w:t>0.395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17.628</w:t>
            </w:r>
          </w:p>
        </w:tc>
      </w:tr>
    </w:tbl>
    <w:p>
      <w:pPr>
        <w:pStyle w:val="2"/>
        <w:widowControl w:val="0"/>
        <w:jc w:val="both"/>
        <w:rPr>
          <w:color w:val="000000"/>
        </w:rPr>
      </w:pPr>
      <w:bookmarkStart w:id="63" w:name="_Toc23885"/>
      <w:r>
        <w:rPr>
          <w:color w:val="000000"/>
        </w:rPr>
        <w:t>排风机</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额定功率</w:t>
            </w:r>
            <w:r>
              <w:br w:type="textWrapping"/>
            </w:r>
            <w:r>
              <w:t>(kW)</w:t>
            </w:r>
          </w:p>
        </w:tc>
        <w:tc>
          <w:tcPr>
            <w:shd w:val="clear" w:color="auto" w:fill="E6E6E6"/>
            <w:vAlign w:val="center"/>
          </w:tcPr>
          <w:p>
            <w:pPr>
              <w:jc w:val="center"/>
            </w:pPr>
            <w:r>
              <w:t>台数</w:t>
            </w:r>
          </w:p>
        </w:tc>
        <w:tc>
          <w:tcPr>
            <w:shd w:val="clear" w:color="auto" w:fill="E6E6E6"/>
            <w:vAlign w:val="center"/>
          </w:tcPr>
          <w:p>
            <w:pPr>
              <w:jc w:val="center"/>
            </w:pPr>
            <w:r>
              <w:t>使用系数</w:t>
            </w:r>
          </w:p>
        </w:tc>
        <w:tc>
          <w:tcPr>
            <w:shd w:val="clear" w:color="auto" w:fill="E6E6E6"/>
            <w:vAlign w:val="center"/>
          </w:tcPr>
          <w:p>
            <w:pPr>
              <w:jc w:val="center"/>
            </w:pPr>
            <w:r>
              <w:t>运行时间</w:t>
            </w:r>
            <w:r>
              <w:br w:type="textWrapping"/>
            </w:r>
            <w:r>
              <w:t>(h/天)</w:t>
            </w:r>
          </w:p>
        </w:tc>
        <w:tc>
          <w:tcPr>
            <w:shd w:val="clear" w:color="auto" w:fill="E6E6E6"/>
            <w:vAlign w:val="center"/>
          </w:tcPr>
          <w:p>
            <w:pPr>
              <w:jc w:val="center"/>
            </w:pPr>
            <w:r>
              <w:t>年运行天数</w:t>
            </w:r>
          </w:p>
        </w:tc>
        <w:tc>
          <w:tcPr>
            <w:shd w:val="clear" w:color="auto" w:fill="E6E6E6"/>
            <w:vAlign w:val="center"/>
          </w:tcPr>
          <w:p>
            <w:pPr>
              <w:jc w:val="center"/>
            </w:pPr>
            <w:r>
              <w:t>全年电耗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5</w:t>
            </w:r>
          </w:p>
        </w:tc>
        <w:tc>
          <w:tcPr>
            <w:vAlign w:val="center"/>
          </w:tcPr>
          <w:p>
            <w:r>
              <w:t>4</w:t>
            </w:r>
          </w:p>
        </w:tc>
        <w:tc>
          <w:tcPr>
            <w:vAlign w:val="center"/>
          </w:tcPr>
          <w:p>
            <w:r>
              <w:t>0.8</w:t>
            </w:r>
          </w:p>
        </w:tc>
        <w:tc>
          <w:tcPr>
            <w:vAlign w:val="center"/>
          </w:tcPr>
          <w:p>
            <w:r>
              <w:t>5</w:t>
            </w:r>
          </w:p>
        </w:tc>
        <w:tc>
          <w:tcPr>
            <w:vAlign w:val="center"/>
          </w:tcPr>
          <w:p>
            <w:r>
              <w:t>365</w:t>
            </w:r>
          </w:p>
        </w:tc>
        <w:tc>
          <w:tcPr>
            <w:vAlign w:val="center"/>
          </w:tcPr>
          <w:p>
            <w:r>
              <w:t>29200</w:t>
            </w:r>
          </w:p>
        </w:tc>
        <w:tc>
          <w:tcPr>
            <w:vAlign w:val="center"/>
          </w:tcPr>
          <w:p>
            <w:r>
              <w:t>0.5703</w:t>
            </w:r>
          </w:p>
        </w:tc>
        <w:tc>
          <w:tcPr>
            <w:vAlign w:val="center"/>
          </w:tcPr>
          <w:p>
            <w:r>
              <w:t>16.653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r>
              <w:t>总计</w:t>
            </w:r>
          </w:p>
        </w:tc>
        <w:tc>
          <w:tcPr>
            <w:vAlign w:val="center"/>
          </w:tcPr>
          <w:p>
            <w:r>
              <w:t>16.653</w:t>
            </w:r>
          </w:p>
        </w:tc>
      </w:tr>
    </w:tbl>
    <w:p>
      <w:pPr>
        <w:widowControl w:val="0"/>
        <w:jc w:val="both"/>
        <w:rPr>
          <w:color w:val="000000"/>
        </w:rPr>
      </w:pPr>
      <w:r>
        <w:rPr>
          <w:color w:val="000000"/>
        </w:rPr>
        <w:t>注：此类风机指非空调区域排风机</w:t>
      </w:r>
    </w:p>
    <w:p>
      <w:pPr>
        <w:pStyle w:val="2"/>
        <w:widowControl w:val="0"/>
        <w:jc w:val="both"/>
        <w:rPr>
          <w:color w:val="000000"/>
        </w:rPr>
      </w:pPr>
      <w:bookmarkStart w:id="64" w:name="_Toc28921"/>
      <w:r>
        <w:rPr>
          <w:color w:val="000000"/>
        </w:rPr>
        <w:t>生活热水</w:t>
      </w:r>
      <w:bookmarkEnd w:id="64"/>
    </w:p>
    <w:p>
      <w:pPr>
        <w:pStyle w:val="4"/>
        <w:widowControl w:val="0"/>
        <w:jc w:val="both"/>
        <w:rPr>
          <w:color w:val="000000"/>
        </w:rPr>
      </w:pPr>
      <w:bookmarkStart w:id="65" w:name="_Toc20602"/>
      <w:r>
        <w:rPr>
          <w:color w:val="000000"/>
        </w:rPr>
        <w:t>热水需求</w:t>
      </w:r>
      <w:bookmarkEnd w:id="65"/>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tblPrEx>
          <w:tblCellMar>
            <w:top w:w="0" w:type="dxa"/>
            <w:left w:w="108" w:type="dxa"/>
            <w:bottom w:w="0" w:type="dxa"/>
            <w:right w:w="108" w:type="dxa"/>
          </w:tblCellMar>
        </w:tblPrEx>
        <w:trPr>
          <w:jc w:val="center"/>
        </w:trPr>
        <w:tc>
          <w:tcPr>
            <w:shd w:val="clear" w:color="auto" w:fill="E6E6E6"/>
            <w:vAlign w:val="center"/>
          </w:tcPr>
          <w:p>
            <w:pPr>
              <w:jc w:val="center"/>
            </w:pPr>
            <w:r>
              <w:t>分区</w:t>
            </w:r>
          </w:p>
        </w:tc>
        <w:tc>
          <w:tcPr>
            <w:shd w:val="clear" w:color="auto" w:fill="E6E6E6"/>
            <w:vAlign w:val="center"/>
          </w:tcPr>
          <w:p>
            <w:pPr>
              <w:jc w:val="center"/>
            </w:pPr>
            <w:r>
              <w:t>用水定额</w:t>
            </w:r>
            <w:r>
              <w:br w:type="textWrapping"/>
            </w:r>
            <w:r>
              <w:t>(L/人·d)</w:t>
            </w:r>
          </w:p>
        </w:tc>
        <w:tc>
          <w:tcPr>
            <w:shd w:val="clear" w:color="auto" w:fill="E6E6E6"/>
            <w:vAlign w:val="center"/>
          </w:tcPr>
          <w:p>
            <w:pPr>
              <w:jc w:val="center"/>
            </w:pPr>
            <w:r>
              <w:t>热水温差(℃)</w:t>
            </w:r>
          </w:p>
        </w:tc>
        <w:tc>
          <w:tcPr>
            <w:shd w:val="clear" w:color="auto" w:fill="E6E6E6"/>
            <w:vAlign w:val="center"/>
          </w:tcPr>
          <w:p>
            <w:pPr>
              <w:jc w:val="center"/>
            </w:pPr>
            <w:r>
              <w:t>用水人数</w:t>
            </w:r>
          </w:p>
        </w:tc>
        <w:tc>
          <w:tcPr>
            <w:shd w:val="clear" w:color="auto" w:fill="E6E6E6"/>
            <w:vAlign w:val="center"/>
          </w:tcPr>
          <w:p>
            <w:pPr>
              <w:jc w:val="center"/>
            </w:pPr>
            <w:r>
              <w:t>年使用天数</w:t>
            </w:r>
          </w:p>
        </w:tc>
        <w:tc>
          <w:tcPr>
            <w:shd w:val="clear" w:color="auto" w:fill="E6E6E6"/>
            <w:vAlign w:val="center"/>
          </w:tcPr>
          <w:p>
            <w:pPr>
              <w:jc w:val="center"/>
            </w:pPr>
            <w:r>
              <w:t>所需热量</w:t>
            </w:r>
            <w:r>
              <w:br w:type="textWrapping"/>
            </w:r>
            <w:r>
              <w:t>(kWh/a)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w:t>
            </w:r>
          </w:p>
        </w:tc>
        <w:tc>
          <w:tcPr>
            <w:vAlign w:val="center"/>
          </w:tcPr>
          <w:p>
            <w:r>
              <w:t>25</w:t>
            </w:r>
          </w:p>
        </w:tc>
        <w:tc>
          <w:tcPr>
            <w:vAlign w:val="center"/>
          </w:tcPr>
          <w:p>
            <w:r>
              <w:t>35</w:t>
            </w:r>
          </w:p>
        </w:tc>
        <w:tc>
          <w:tcPr>
            <w:vAlign w:val="center"/>
          </w:tcPr>
          <w:p>
            <w:r>
              <w:t>40</w:t>
            </w:r>
          </w:p>
        </w:tc>
        <w:tc>
          <w:tcPr>
            <w:vAlign w:val="center"/>
          </w:tcPr>
          <w:p>
            <w:r>
              <w:t>330</w:t>
            </w:r>
          </w:p>
        </w:tc>
        <w:tc>
          <w:tcPr>
            <w:vAlign w:val="center"/>
          </w:tcPr>
          <w:p>
            <w:r>
              <w:t>13205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展厅</w:t>
            </w:r>
          </w:p>
        </w:tc>
        <w:tc>
          <w:tcPr>
            <w:vAlign w:val="center"/>
          </w:tcPr>
          <w:p>
            <w:r>
              <w:t>20</w:t>
            </w:r>
          </w:p>
        </w:tc>
        <w:tc>
          <w:tcPr>
            <w:vAlign w:val="center"/>
          </w:tcPr>
          <w:p>
            <w:r>
              <w:t>35</w:t>
            </w:r>
          </w:p>
        </w:tc>
        <w:tc>
          <w:tcPr>
            <w:vAlign w:val="center"/>
          </w:tcPr>
          <w:p>
            <w:r>
              <w:t>460</w:t>
            </w:r>
          </w:p>
        </w:tc>
        <w:tc>
          <w:tcPr>
            <w:vAlign w:val="center"/>
          </w:tcPr>
          <w:p>
            <w:r>
              <w:t>330</w:t>
            </w:r>
          </w:p>
        </w:tc>
        <w:tc>
          <w:tcPr>
            <w:vAlign w:val="center"/>
          </w:tcPr>
          <w:p>
            <w:r>
              <w:t>121485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体验</w:t>
            </w:r>
          </w:p>
        </w:tc>
        <w:tc>
          <w:tcPr>
            <w:vAlign w:val="center"/>
          </w:tcPr>
          <w:p>
            <w:r>
              <w:t>20</w:t>
            </w:r>
          </w:p>
        </w:tc>
        <w:tc>
          <w:tcPr>
            <w:vAlign w:val="center"/>
          </w:tcPr>
          <w:p>
            <w:r>
              <w:t>35</w:t>
            </w:r>
          </w:p>
        </w:tc>
        <w:tc>
          <w:tcPr>
            <w:vAlign w:val="center"/>
          </w:tcPr>
          <w:p>
            <w:r>
              <w:t>400</w:t>
            </w:r>
          </w:p>
        </w:tc>
        <w:tc>
          <w:tcPr>
            <w:vAlign w:val="center"/>
          </w:tcPr>
          <w:p>
            <w:r>
              <w:t>330</w:t>
            </w:r>
          </w:p>
        </w:tc>
        <w:tc>
          <w:tcPr>
            <w:vAlign w:val="center"/>
          </w:tcPr>
          <w:p>
            <w:r>
              <w:t>105639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总计</w:t>
            </w:r>
          </w:p>
        </w:tc>
        <w:tc>
          <w:tcPr>
            <w:vAlign w:val="center"/>
          </w:tcPr>
          <w:p>
            <w:r>
              <w:t>240330</w:t>
            </w:r>
          </w:p>
        </w:tc>
      </w:tr>
    </w:tbl>
    <w:p>
      <w:pPr>
        <w:pStyle w:val="4"/>
        <w:widowControl w:val="0"/>
        <w:jc w:val="both"/>
        <w:rPr>
          <w:color w:val="000000"/>
        </w:rPr>
      </w:pPr>
      <w:bookmarkStart w:id="66" w:name="_Toc20631"/>
      <w:r>
        <w:rPr>
          <w:color w:val="000000"/>
        </w:rPr>
        <w:t>太阳能集热</w:t>
      </w:r>
      <w:bookmarkEnd w:id="66"/>
    </w:p>
    <w:tbl>
      <w:tblPr>
        <w:tblStyle w:val="18"/>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8"/>
        <w:gridCol w:w="2546"/>
        <w:gridCol w:w="1839"/>
        <w:gridCol w:w="25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年集热量(MJ)</w:t>
            </w:r>
          </w:p>
        </w:tc>
        <w:tc>
          <w:tcPr>
            <w:shd w:val="clear" w:color="auto" w:fill="E6E6E6"/>
            <w:vAlign w:val="center"/>
          </w:tcPr>
          <w:p>
            <w:pPr>
              <w:jc w:val="center"/>
            </w:pPr>
            <w:r>
              <w:t>年均集热效率(%)</w:t>
            </w:r>
          </w:p>
        </w:tc>
        <w:tc>
          <w:tcPr>
            <w:shd w:val="clear" w:color="auto" w:fill="E6E6E6"/>
            <w:vAlign w:val="center"/>
          </w:tcPr>
          <w:p>
            <w:pPr>
              <w:jc w:val="center"/>
            </w:pPr>
            <w:r>
              <w:t>热量损失率(%)</w:t>
            </w:r>
          </w:p>
        </w:tc>
        <w:tc>
          <w:tcPr>
            <w:shd w:val="clear" w:color="auto" w:fill="E6E6E6"/>
            <w:vAlign w:val="center"/>
          </w:tcPr>
          <w:p>
            <w:pPr>
              <w:jc w:val="center"/>
            </w:pPr>
            <w:r>
              <w:t>太阳能提供热量(kWh/a)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12450</w:t>
            </w:r>
          </w:p>
        </w:tc>
        <w:tc>
          <w:tcPr>
            <w:vAlign w:val="center"/>
          </w:tcPr>
          <w:p>
            <w:r>
              <w:t>40</w:t>
            </w:r>
          </w:p>
        </w:tc>
        <w:tc>
          <w:tcPr>
            <w:vAlign w:val="center"/>
          </w:tcPr>
          <w:p>
            <w:r>
              <w:t>25</w:t>
            </w:r>
          </w:p>
        </w:tc>
        <w:tc>
          <w:tcPr>
            <w:vAlign w:val="center"/>
          </w:tcPr>
          <w:p>
            <w:r>
              <w:t>1037.5</w:t>
            </w:r>
          </w:p>
        </w:tc>
      </w:tr>
    </w:tbl>
    <w:p>
      <w:pPr>
        <w:pStyle w:val="4"/>
        <w:widowControl w:val="0"/>
        <w:jc w:val="both"/>
        <w:rPr>
          <w:color w:val="000000"/>
        </w:rPr>
      </w:pPr>
      <w:bookmarkStart w:id="67" w:name="_Toc27092"/>
      <w:r>
        <w:rPr>
          <w:color w:val="000000"/>
        </w:rPr>
        <w:t>热水设备</w:t>
      </w:r>
      <w:bookmarkEnd w:id="6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能源</w:t>
            </w:r>
          </w:p>
        </w:tc>
        <w:tc>
          <w:tcPr>
            <w:shd w:val="clear" w:color="auto" w:fill="E6E6E6"/>
            <w:vAlign w:val="center"/>
          </w:tcPr>
          <w:p>
            <w:pPr>
              <w:jc w:val="center"/>
            </w:pPr>
            <w:r>
              <w:t>效率(%)</w:t>
            </w:r>
          </w:p>
        </w:tc>
        <w:tc>
          <w:tcPr>
            <w:shd w:val="clear" w:color="auto" w:fill="E6E6E6"/>
            <w:vAlign w:val="center"/>
          </w:tcPr>
          <w:p>
            <w:pPr>
              <w:jc w:val="center"/>
            </w:pPr>
            <w:r>
              <w:t>耗电量(kWh/a)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电加热</w:t>
            </w:r>
          </w:p>
        </w:tc>
        <w:tc>
          <w:tcPr>
            <w:vAlign w:val="center"/>
          </w:tcPr>
          <w:p>
            <w:r>
              <w:t>0.25</w:t>
            </w:r>
          </w:p>
        </w:tc>
        <w:tc>
          <w:tcPr>
            <w:vAlign w:val="center"/>
          </w:tcPr>
          <w:p>
            <w:r>
              <w:t>59823</w:t>
            </w:r>
          </w:p>
        </w:tc>
        <w:tc>
          <w:tcPr>
            <w:vAlign w:val="center"/>
          </w:tcPr>
          <w:p>
            <w:r>
              <w:t>电</w:t>
            </w:r>
          </w:p>
        </w:tc>
        <w:tc>
          <w:tcPr>
            <w:vAlign w:val="center"/>
          </w:tcPr>
          <w:p>
            <w:r>
              <w:t>90</w:t>
            </w:r>
          </w:p>
        </w:tc>
        <w:tc>
          <w:tcPr>
            <w:vAlign w:val="center"/>
          </w:tcPr>
          <w:p>
            <w:r>
              <w:t>66470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r>
              <w:t>热水设备承担的供热量=(总需求热量－太阳能供热量)×设备供热比例。</w:t>
            </w:r>
            <w:r>
              <w:br w:type="textWrapping"/>
            </w:r>
            <w:r>
              <w:t>耗电量=供热量÷效率。</w:t>
            </w:r>
          </w:p>
        </w:tc>
      </w:tr>
    </w:tbl>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性能系数</w:t>
            </w:r>
          </w:p>
        </w:tc>
        <w:tc>
          <w:tcPr>
            <w:shd w:val="clear" w:color="auto" w:fill="E6E6E6"/>
            <w:vAlign w:val="center"/>
          </w:tcPr>
          <w:p>
            <w:pPr>
              <w:jc w:val="center"/>
            </w:pPr>
            <w:r>
              <w:t>联供比例</w:t>
            </w:r>
          </w:p>
        </w:tc>
        <w:tc>
          <w:tcPr>
            <w:shd w:val="clear" w:color="auto" w:fill="E6E6E6"/>
            <w:vAlign w:val="center"/>
          </w:tcPr>
          <w:p>
            <w:pPr>
              <w:jc w:val="center"/>
            </w:pPr>
            <w:r>
              <w:t>耗电量(kWh/a)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热水热泵</w:t>
            </w:r>
          </w:p>
        </w:tc>
        <w:tc>
          <w:tcPr>
            <w:vAlign w:val="center"/>
          </w:tcPr>
          <w:p>
            <w:r>
              <w:t>0.75</w:t>
            </w:r>
          </w:p>
        </w:tc>
        <w:tc>
          <w:tcPr>
            <w:vAlign w:val="center"/>
          </w:tcPr>
          <w:p>
            <w:r>
              <w:t>179469</w:t>
            </w:r>
          </w:p>
        </w:tc>
        <w:tc>
          <w:tcPr>
            <w:vAlign w:val="center"/>
          </w:tcPr>
          <w:p>
            <w:r>
              <w:t>3.5</w:t>
            </w:r>
          </w:p>
        </w:tc>
        <w:tc>
          <w:tcPr>
            <w:vAlign w:val="center"/>
          </w:tcPr>
          <w:p>
            <w:r>
              <w:t>0.5</w:t>
            </w:r>
          </w:p>
        </w:tc>
        <w:tc>
          <w:tcPr>
            <w:vAlign w:val="center"/>
          </w:tcPr>
          <w:p>
            <w:r>
              <w:t>25638.4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r>
              <w:t>热水设备承担的供热量=(总需求热量－太阳能供热量)×设备供热比例。</w:t>
            </w:r>
            <w:r>
              <w:br w:type="textWrapping"/>
            </w:r>
            <w:r>
              <w:t>耗电量=供热量×(1-联供比例)÷性能系数。</w:t>
            </w:r>
          </w:p>
        </w:tc>
      </w:tr>
    </w:tbl>
    <w:p>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生活热水电耗合计(kWh/a)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92108</w:t>
            </w:r>
          </w:p>
        </w:tc>
        <w:tc>
          <w:tcPr>
            <w:vAlign w:val="center"/>
          </w:tcPr>
          <w:p>
            <w:r>
              <w:t>0.5703</w:t>
            </w:r>
          </w:p>
        </w:tc>
        <w:tc>
          <w:tcPr>
            <w:vAlign w:val="center"/>
          </w:tcPr>
          <w:p>
            <w:r>
              <w:t>52.529</w:t>
            </w:r>
          </w:p>
        </w:tc>
      </w:tr>
    </w:tbl>
    <w:p>
      <w:pPr>
        <w:pStyle w:val="2"/>
        <w:widowControl w:val="0"/>
        <w:jc w:val="both"/>
        <w:rPr>
          <w:color w:val="000000"/>
        </w:rPr>
      </w:pPr>
      <w:bookmarkStart w:id="68" w:name="_Toc12561"/>
      <w:r>
        <w:rPr>
          <w:color w:val="000000"/>
        </w:rPr>
        <w:t>光伏发电</w:t>
      </w:r>
      <w:bookmarkEnd w:id="68"/>
    </w:p>
    <w:p>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光伏板面积(㎡)</w:t>
            </w:r>
          </w:p>
        </w:tc>
        <w:tc>
          <w:tcPr>
            <w:shd w:val="clear" w:color="auto" w:fill="E6E6E6"/>
            <w:vAlign w:val="center"/>
          </w:tcPr>
          <w:p>
            <w:pPr>
              <w:jc w:val="center"/>
            </w:pPr>
            <w:r>
              <w:t>光电转换</w:t>
            </w:r>
            <w:r>
              <w:br w:type="textWrapping"/>
            </w:r>
            <w:r>
              <w:t>效率(%)</w:t>
            </w:r>
          </w:p>
        </w:tc>
        <w:tc>
          <w:tcPr>
            <w:shd w:val="clear" w:color="auto" w:fill="E6E6E6"/>
            <w:vAlign w:val="center"/>
          </w:tcPr>
          <w:p>
            <w:pPr>
              <w:jc w:val="center"/>
            </w:pPr>
            <w:r>
              <w:t>光伏系统</w:t>
            </w:r>
            <w:r>
              <w:br w:type="textWrapping"/>
            </w:r>
            <w:r>
              <w:t>效率(%)</w:t>
            </w:r>
          </w:p>
        </w:tc>
        <w:tc>
          <w:tcPr>
            <w:shd w:val="clear" w:color="auto" w:fill="E6E6E6"/>
            <w:vAlign w:val="center"/>
          </w:tcPr>
          <w:p>
            <w:pPr>
              <w:jc w:val="center"/>
            </w:pPr>
            <w:r>
              <w:t>光伏电池性能</w:t>
            </w:r>
            <w:r>
              <w:br w:type="textWrapping"/>
            </w:r>
            <w:r>
              <w:t>衰减修正系数</w:t>
            </w:r>
          </w:p>
        </w:tc>
        <w:tc>
          <w:tcPr>
            <w:shd w:val="clear" w:color="auto" w:fill="E6E6E6"/>
            <w:vAlign w:val="center"/>
          </w:tcPr>
          <w:p>
            <w:pPr>
              <w:jc w:val="center"/>
            </w:pPr>
            <w:r>
              <w:t>全年供电</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可减少碳排放量(tCO2/a)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306</w:t>
            </w:r>
          </w:p>
        </w:tc>
        <w:tc>
          <w:tcPr>
            <w:vAlign w:val="center"/>
          </w:tcPr>
          <w:p>
            <w:r>
              <w:t>15</w:t>
            </w:r>
          </w:p>
        </w:tc>
        <w:tc>
          <w:tcPr>
            <w:vAlign w:val="center"/>
          </w:tcPr>
          <w:p>
            <w:r>
              <w:t>82</w:t>
            </w:r>
          </w:p>
        </w:tc>
        <w:tc>
          <w:tcPr>
            <w:vAlign w:val="center"/>
          </w:tcPr>
          <w:p>
            <w:r>
              <w:t>0.85</w:t>
            </w:r>
          </w:p>
        </w:tc>
        <w:tc>
          <w:tcPr>
            <w:vAlign w:val="center"/>
          </w:tcPr>
          <w:p>
            <w:r>
              <w:t>53001</w:t>
            </w:r>
          </w:p>
        </w:tc>
        <w:tc>
          <w:tcPr>
            <w:vAlign w:val="center"/>
          </w:tcPr>
          <w:p>
            <w:r>
              <w:t>0.5703</w:t>
            </w:r>
          </w:p>
        </w:tc>
        <w:tc>
          <w:tcPr>
            <w:vAlign w:val="center"/>
          </w:tcPr>
          <w:p>
            <w:r>
              <w:t>30.227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30.227</w:t>
            </w:r>
          </w:p>
        </w:tc>
      </w:tr>
    </w:tbl>
    <w:p>
      <w:pPr>
        <w:pStyle w:val="2"/>
        <w:widowControl w:val="0"/>
        <w:jc w:val="both"/>
        <w:rPr>
          <w:color w:val="000000"/>
        </w:rPr>
      </w:pPr>
      <w:bookmarkStart w:id="69" w:name="_Toc17263"/>
      <w:r>
        <w:rPr>
          <w:color w:val="000000"/>
        </w:rPr>
        <w:t>计算结果</w:t>
      </w:r>
      <w:bookmarkEnd w:id="69"/>
    </w:p>
    <w:p>
      <w:pPr>
        <w:pStyle w:val="4"/>
        <w:widowControl w:val="0"/>
        <w:jc w:val="both"/>
        <w:rPr>
          <w:color w:val="000000"/>
        </w:rPr>
      </w:pPr>
      <w:bookmarkStart w:id="70" w:name="_Toc12612"/>
      <w:r>
        <w:rPr>
          <w:color w:val="000000"/>
        </w:rPr>
        <w:t>建材生产运输碳排放</w:t>
      </w:r>
      <w:bookmarkEnd w:id="70"/>
    </w:p>
    <w:p>
      <w:pPr>
        <w:pStyle w:val="5"/>
        <w:widowControl w:val="0"/>
        <w:jc w:val="both"/>
        <w:rPr>
          <w:color w:val="000000"/>
        </w:rPr>
      </w:pPr>
      <w:bookmarkStart w:id="71" w:name="_Toc8553"/>
      <w:r>
        <w:rPr>
          <w:color w:val="000000"/>
        </w:rPr>
        <w:t>建材生产阶段</w:t>
      </w:r>
      <w:bookmarkEnd w:id="71"/>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单位</w:t>
            </w:r>
          </w:p>
        </w:tc>
        <w:tc>
          <w:tcPr>
            <w:shd w:val="clear" w:color="auto" w:fill="E6E6E6"/>
            <w:vAlign w:val="center"/>
          </w:tcPr>
          <w:p>
            <w:pPr>
              <w:jc w:val="center"/>
            </w:pPr>
            <w:r>
              <w:t>用量</w:t>
            </w:r>
          </w:p>
        </w:tc>
        <w:tc>
          <w:tcPr>
            <w:shd w:val="clear" w:color="auto" w:fill="E6E6E6"/>
            <w:vAlign w:val="center"/>
          </w:tcPr>
          <w:p>
            <w:pPr>
              <w:jc w:val="center"/>
            </w:pPr>
            <w:r>
              <w:t>拆除后回收比例</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(kgCO2e/单位)</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r>
              <w:t>m3</w:t>
            </w:r>
          </w:p>
        </w:tc>
        <w:tc>
          <w:tcPr>
            <w:vAlign w:val="center"/>
          </w:tcPr>
          <w:p>
            <w:pPr>
              <w:jc w:val="right"/>
            </w:pPr>
            <w:r>
              <w:t>660.00</w:t>
            </w:r>
          </w:p>
        </w:tc>
        <w:tc>
          <w:tcPr>
            <w:vAlign w:val="center"/>
          </w:tcPr>
          <w:p>
            <w:pPr>
              <w:jc w:val="right"/>
            </w:pPr>
            <w:r>
              <w:t>0</w:t>
            </w:r>
          </w:p>
        </w:tc>
        <w:tc>
          <w:tcPr>
            <w:vAlign w:val="center"/>
          </w:tcPr>
          <w:p>
            <w:pPr>
              <w:jc w:val="right"/>
            </w:pPr>
            <w:r>
              <w:t>全生命周期</w:t>
            </w:r>
          </w:p>
        </w:tc>
        <w:tc>
          <w:tcPr>
            <w:vAlign w:val="center"/>
          </w:tcPr>
          <w:p>
            <w:pPr>
              <w:jc w:val="right"/>
            </w:pPr>
            <w:r>
              <w:t>340</w:t>
            </w:r>
          </w:p>
        </w:tc>
        <w:tc>
          <w:tcPr>
            <w:vAlign w:val="center"/>
          </w:tcPr>
          <w:p>
            <w:pPr>
              <w:jc w:val="right"/>
            </w:pPr>
            <w:r>
              <w:t>224.400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r>
              <w:t>t</w:t>
            </w:r>
          </w:p>
        </w:tc>
        <w:tc>
          <w:tcPr>
            <w:vAlign w:val="center"/>
          </w:tcPr>
          <w:p>
            <w:pPr>
              <w:jc w:val="right"/>
            </w:pPr>
            <w:r>
              <w:t>9.07</w:t>
            </w:r>
          </w:p>
        </w:tc>
        <w:tc>
          <w:tcPr>
            <w:vAlign w:val="center"/>
          </w:tcPr>
          <w:p>
            <w:pPr>
              <w:jc w:val="right"/>
            </w:pPr>
            <w:r>
              <w:t>0</w:t>
            </w:r>
          </w:p>
        </w:tc>
        <w:tc>
          <w:tcPr>
            <w:vAlign w:val="center"/>
          </w:tcPr>
          <w:p>
            <w:pPr>
              <w:jc w:val="right"/>
            </w:pPr>
            <w:r>
              <w:t>全生命周期</w:t>
            </w:r>
          </w:p>
        </w:tc>
        <w:tc>
          <w:tcPr>
            <w:vAlign w:val="center"/>
          </w:tcPr>
          <w:p>
            <w:pPr>
              <w:jc w:val="right"/>
            </w:pPr>
            <w:r>
              <w:t>2340</w:t>
            </w:r>
          </w:p>
        </w:tc>
        <w:tc>
          <w:tcPr>
            <w:vAlign w:val="center"/>
          </w:tcPr>
          <w:p>
            <w:pPr>
              <w:jc w:val="right"/>
            </w:pPr>
            <w:r>
              <w:t>21.224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r>
              <w:t>t</w:t>
            </w:r>
          </w:p>
        </w:tc>
        <w:tc>
          <w:tcPr>
            <w:vAlign w:val="center"/>
          </w:tcPr>
          <w:p>
            <w:pPr>
              <w:jc w:val="right"/>
            </w:pPr>
            <w:r>
              <w:t>26.40</w:t>
            </w:r>
          </w:p>
        </w:tc>
        <w:tc>
          <w:tcPr>
            <w:vAlign w:val="center"/>
          </w:tcPr>
          <w:p>
            <w:pPr>
              <w:jc w:val="right"/>
            </w:pPr>
            <w:r>
              <w:t>0</w:t>
            </w:r>
          </w:p>
        </w:tc>
        <w:tc>
          <w:tcPr>
            <w:vAlign w:val="center"/>
          </w:tcPr>
          <w:p>
            <w:pPr>
              <w:jc w:val="right"/>
            </w:pPr>
            <w:r>
              <w:t>全生命周期</w:t>
            </w:r>
          </w:p>
        </w:tc>
        <w:tc>
          <w:tcPr>
            <w:vAlign w:val="center"/>
          </w:tcPr>
          <w:p>
            <w:pPr>
              <w:jc w:val="right"/>
            </w:pPr>
            <w:r>
              <w:t>2365</w:t>
            </w:r>
          </w:p>
        </w:tc>
        <w:tc>
          <w:tcPr>
            <w:vAlign w:val="center"/>
          </w:tcPr>
          <w:p>
            <w:pPr>
              <w:jc w:val="right"/>
            </w:pPr>
            <w:r>
              <w:t>62.436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r>
              <w:t>t</w:t>
            </w:r>
          </w:p>
        </w:tc>
        <w:tc>
          <w:tcPr>
            <w:vAlign w:val="center"/>
          </w:tcPr>
          <w:p>
            <w:pPr>
              <w:jc w:val="right"/>
            </w:pPr>
            <w:r>
              <w:t>38.77</w:t>
            </w:r>
          </w:p>
        </w:tc>
        <w:tc>
          <w:tcPr>
            <w:vAlign w:val="center"/>
          </w:tcPr>
          <w:p>
            <w:pPr>
              <w:jc w:val="right"/>
            </w:pPr>
            <w:r>
              <w:t>0</w:t>
            </w:r>
          </w:p>
        </w:tc>
        <w:tc>
          <w:tcPr>
            <w:vAlign w:val="center"/>
          </w:tcPr>
          <w:p>
            <w:pPr>
              <w:jc w:val="right"/>
            </w:pPr>
            <w:r>
              <w:t>全生命周期</w:t>
            </w:r>
          </w:p>
        </w:tc>
        <w:tc>
          <w:tcPr>
            <w:vAlign w:val="center"/>
          </w:tcPr>
          <w:p>
            <w:pPr>
              <w:jc w:val="right"/>
            </w:pPr>
            <w:r>
              <w:t>735</w:t>
            </w:r>
          </w:p>
        </w:tc>
        <w:tc>
          <w:tcPr>
            <w:vAlign w:val="center"/>
          </w:tcPr>
          <w:p>
            <w:pPr>
              <w:jc w:val="right"/>
            </w:pPr>
            <w:r>
              <w:t>28.496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r>
              <w:t>t</w:t>
            </w:r>
          </w:p>
        </w:tc>
        <w:tc>
          <w:tcPr>
            <w:vAlign w:val="center"/>
          </w:tcPr>
          <w:p>
            <w:pPr>
              <w:jc w:val="right"/>
            </w:pPr>
            <w:r>
              <w:t>3.30</w:t>
            </w:r>
          </w:p>
        </w:tc>
        <w:tc>
          <w:tcPr>
            <w:vAlign w:val="center"/>
          </w:tcPr>
          <w:p>
            <w:pPr>
              <w:jc w:val="right"/>
            </w:pPr>
            <w:r>
              <w:t>0</w:t>
            </w:r>
          </w:p>
        </w:tc>
        <w:tc>
          <w:tcPr>
            <w:vAlign w:val="center"/>
          </w:tcPr>
          <w:p>
            <w:pPr>
              <w:jc w:val="right"/>
            </w:pPr>
            <w:r>
              <w:t>全生命周期</w:t>
            </w:r>
          </w:p>
        </w:tc>
        <w:tc>
          <w:tcPr>
            <w:vAlign w:val="center"/>
          </w:tcPr>
          <w:p>
            <w:pPr>
              <w:jc w:val="right"/>
            </w:pPr>
            <w:r>
              <w:t>370</w:t>
            </w:r>
          </w:p>
        </w:tc>
        <w:tc>
          <w:tcPr>
            <w:vAlign w:val="center"/>
          </w:tcPr>
          <w:p>
            <w:pPr>
              <w:jc w:val="right"/>
            </w:pPr>
            <w:r>
              <w:t>1.221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砂</w:t>
            </w:r>
          </w:p>
        </w:tc>
        <w:tc>
          <w:tcPr>
            <w:vAlign w:val="center"/>
          </w:tcPr>
          <w:p>
            <w:r>
              <w:t>m3</w:t>
            </w:r>
          </w:p>
        </w:tc>
        <w:tc>
          <w:tcPr>
            <w:vAlign w:val="center"/>
          </w:tcPr>
          <w:p>
            <w:pPr>
              <w:jc w:val="right"/>
            </w:pPr>
            <w:r>
              <w:t>110.55</w:t>
            </w:r>
          </w:p>
        </w:tc>
        <w:tc>
          <w:tcPr>
            <w:vAlign w:val="center"/>
          </w:tcPr>
          <w:p>
            <w:pPr>
              <w:jc w:val="right"/>
            </w:pPr>
            <w:r>
              <w:t>0</w:t>
            </w:r>
          </w:p>
        </w:tc>
        <w:tc>
          <w:tcPr>
            <w:vAlign w:val="center"/>
          </w:tcPr>
          <w:p>
            <w:pPr>
              <w:jc w:val="right"/>
            </w:pPr>
            <w:r>
              <w:t>全生命周期</w:t>
            </w:r>
          </w:p>
        </w:tc>
        <w:tc>
          <w:tcPr>
            <w:vAlign w:val="center"/>
          </w:tcPr>
          <w:p>
            <w:pPr>
              <w:jc w:val="right"/>
            </w:pPr>
            <w:r>
              <w:t>3</w:t>
            </w:r>
          </w:p>
        </w:tc>
        <w:tc>
          <w:tcPr>
            <w:vAlign w:val="center"/>
          </w:tcPr>
          <w:p>
            <w:pPr>
              <w:jc w:val="right"/>
            </w:pPr>
            <w:r>
              <w:t>0.332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挤塑聚苯乙烯泡沫塑料板</w:t>
            </w:r>
          </w:p>
        </w:tc>
        <w:tc>
          <w:tcPr>
            <w:vAlign w:val="center"/>
          </w:tcPr>
          <w:p>
            <w:r>
              <w:t>m3</w:t>
            </w:r>
          </w:p>
        </w:tc>
        <w:tc>
          <w:tcPr>
            <w:vAlign w:val="center"/>
          </w:tcPr>
          <w:p>
            <w:pPr>
              <w:jc w:val="right"/>
            </w:pPr>
            <w:r>
              <w:t>59.59</w:t>
            </w:r>
          </w:p>
        </w:tc>
        <w:tc>
          <w:tcPr>
            <w:vAlign w:val="center"/>
          </w:tcPr>
          <w:p>
            <w:pPr>
              <w:jc w:val="right"/>
            </w:pPr>
            <w:r>
              <w:t>0</w:t>
            </w:r>
          </w:p>
        </w:tc>
        <w:tc>
          <w:tcPr>
            <w:vAlign w:val="center"/>
          </w:tcPr>
          <w:p>
            <w:pPr>
              <w:jc w:val="right"/>
            </w:pPr>
            <w:r>
              <w:t>全生命周期</w:t>
            </w:r>
          </w:p>
        </w:tc>
        <w:tc>
          <w:tcPr>
            <w:vAlign w:val="center"/>
          </w:tcPr>
          <w:p>
            <w:pPr>
              <w:jc w:val="right"/>
            </w:pPr>
            <w:r>
              <w:t>669</w:t>
            </w:r>
          </w:p>
        </w:tc>
        <w:tc>
          <w:tcPr>
            <w:vAlign w:val="center"/>
          </w:tcPr>
          <w:p>
            <w:pPr>
              <w:jc w:val="right"/>
            </w:pPr>
            <w:r>
              <w:t>39.866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蒸压加气混凝土砌块(ρ=600)</w:t>
            </w:r>
          </w:p>
        </w:tc>
        <w:tc>
          <w:tcPr>
            <w:vAlign w:val="center"/>
          </w:tcPr>
          <w:p>
            <w:r>
              <w:t>m3</w:t>
            </w:r>
          </w:p>
        </w:tc>
        <w:tc>
          <w:tcPr>
            <w:vAlign w:val="center"/>
          </w:tcPr>
          <w:p>
            <w:pPr>
              <w:jc w:val="right"/>
            </w:pPr>
            <w:r>
              <w:t>177.39</w:t>
            </w:r>
          </w:p>
        </w:tc>
        <w:tc>
          <w:tcPr>
            <w:vAlign w:val="center"/>
          </w:tcPr>
          <w:p>
            <w:pPr>
              <w:jc w:val="right"/>
            </w:pPr>
            <w:r>
              <w:t>0</w:t>
            </w:r>
          </w:p>
        </w:tc>
        <w:tc>
          <w:tcPr>
            <w:vAlign w:val="center"/>
          </w:tcPr>
          <w:p>
            <w:pPr>
              <w:jc w:val="right"/>
            </w:pPr>
            <w:r>
              <w:t>全生命周期</w:t>
            </w:r>
          </w:p>
        </w:tc>
        <w:tc>
          <w:tcPr>
            <w:vAlign w:val="center"/>
          </w:tcPr>
          <w:p>
            <w:pPr>
              <w:jc w:val="right"/>
            </w:pPr>
            <w:r>
              <w:t>327</w:t>
            </w:r>
          </w:p>
        </w:tc>
        <w:tc>
          <w:tcPr>
            <w:vAlign w:val="center"/>
          </w:tcPr>
          <w:p>
            <w:pPr>
              <w:jc w:val="right"/>
            </w:pPr>
            <w:r>
              <w:t>58.007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砌块</w:t>
            </w:r>
          </w:p>
        </w:tc>
        <w:tc>
          <w:tcPr>
            <w:vAlign w:val="center"/>
          </w:tcPr>
          <w:p>
            <w:r>
              <w:t>m3</w:t>
            </w:r>
          </w:p>
        </w:tc>
        <w:tc>
          <w:tcPr>
            <w:vAlign w:val="center"/>
          </w:tcPr>
          <w:p>
            <w:pPr>
              <w:jc w:val="right"/>
            </w:pPr>
            <w:r>
              <w:t>291.23</w:t>
            </w:r>
          </w:p>
        </w:tc>
        <w:tc>
          <w:tcPr>
            <w:vAlign w:val="center"/>
          </w:tcPr>
          <w:p>
            <w:pPr>
              <w:jc w:val="right"/>
            </w:pPr>
            <w:r>
              <w:t>0</w:t>
            </w:r>
          </w:p>
        </w:tc>
        <w:tc>
          <w:tcPr>
            <w:vAlign w:val="center"/>
          </w:tcPr>
          <w:p>
            <w:pPr>
              <w:jc w:val="right"/>
            </w:pPr>
            <w:r>
              <w:t>全生命周期</w:t>
            </w:r>
          </w:p>
        </w:tc>
        <w:tc>
          <w:tcPr>
            <w:vAlign w:val="center"/>
          </w:tcPr>
          <w:p>
            <w:pPr>
              <w:jc w:val="right"/>
            </w:pPr>
            <w:r>
              <w:t>349</w:t>
            </w:r>
          </w:p>
        </w:tc>
        <w:tc>
          <w:tcPr>
            <w:vAlign w:val="center"/>
          </w:tcPr>
          <w:p>
            <w:pPr>
              <w:jc w:val="right"/>
            </w:pPr>
            <w:r>
              <w:t>101.639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砖</w:t>
            </w:r>
          </w:p>
        </w:tc>
        <w:tc>
          <w:tcPr>
            <w:vAlign w:val="center"/>
          </w:tcPr>
          <w:p>
            <w:r>
              <w:t>m3</w:t>
            </w:r>
          </w:p>
        </w:tc>
        <w:tc>
          <w:tcPr>
            <w:vAlign w:val="center"/>
          </w:tcPr>
          <w:p>
            <w:pPr>
              <w:jc w:val="right"/>
            </w:pPr>
            <w:r>
              <w:t>27.23</w:t>
            </w:r>
          </w:p>
        </w:tc>
        <w:tc>
          <w:tcPr>
            <w:vAlign w:val="center"/>
          </w:tcPr>
          <w:p>
            <w:pPr>
              <w:jc w:val="right"/>
            </w:pPr>
            <w:r>
              <w:t>0</w:t>
            </w:r>
          </w:p>
        </w:tc>
        <w:tc>
          <w:tcPr>
            <w:vAlign w:val="center"/>
          </w:tcPr>
          <w:p>
            <w:pPr>
              <w:jc w:val="right"/>
            </w:pPr>
            <w:r>
              <w:t>全生命周期</w:t>
            </w:r>
          </w:p>
        </w:tc>
        <w:tc>
          <w:tcPr>
            <w:vAlign w:val="center"/>
          </w:tcPr>
          <w:p>
            <w:pPr>
              <w:jc w:val="right"/>
            </w:pPr>
            <w:r>
              <w:t>336</w:t>
            </w:r>
          </w:p>
        </w:tc>
        <w:tc>
          <w:tcPr>
            <w:vAlign w:val="center"/>
          </w:tcPr>
          <w:p>
            <w:pPr>
              <w:jc w:val="right"/>
            </w:pPr>
            <w:r>
              <w:t>9.149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铝合金窗--6高透光单银Low+12空气+6透明玻璃</w:t>
            </w:r>
          </w:p>
        </w:tc>
        <w:tc>
          <w:tcPr>
            <w:vAlign w:val="center"/>
          </w:tcPr>
          <w:p>
            <w:r>
              <w:t>m2</w:t>
            </w:r>
          </w:p>
        </w:tc>
        <w:tc>
          <w:tcPr>
            <w:vAlign w:val="center"/>
          </w:tcPr>
          <w:p>
            <w:pPr>
              <w:jc w:val="right"/>
            </w:pPr>
            <w:r>
              <w:t>57.69</w:t>
            </w:r>
          </w:p>
        </w:tc>
        <w:tc>
          <w:tcPr>
            <w:vAlign w:val="center"/>
          </w:tcPr>
          <w:p>
            <w:pPr>
              <w:jc w:val="right"/>
            </w:pPr>
            <w:r>
              <w:t>0</w:t>
            </w:r>
          </w:p>
        </w:tc>
        <w:tc>
          <w:tcPr>
            <w:vAlign w:val="center"/>
          </w:tcPr>
          <w:p>
            <w:pPr>
              <w:jc w:val="right"/>
            </w:pPr>
            <w:r>
              <w:t>全生命周期</w:t>
            </w:r>
          </w:p>
        </w:tc>
        <w:tc>
          <w:tcPr>
            <w:vAlign w:val="center"/>
          </w:tcPr>
          <w:p>
            <w:pPr>
              <w:jc w:val="right"/>
            </w:pPr>
            <w:r>
              <w:t>129.5</w:t>
            </w:r>
          </w:p>
        </w:tc>
        <w:tc>
          <w:tcPr>
            <w:vAlign w:val="center"/>
          </w:tcPr>
          <w:p>
            <w:pPr>
              <w:jc w:val="right"/>
            </w:pPr>
            <w:r>
              <w:t>7.471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断热铝合金窗--5低透光单银Low-E玻璃+12空气+5透明玻璃</w:t>
            </w:r>
          </w:p>
        </w:tc>
        <w:tc>
          <w:tcPr>
            <w:vAlign w:val="center"/>
          </w:tcPr>
          <w:p>
            <w:r>
              <w:t>m2</w:t>
            </w:r>
          </w:p>
        </w:tc>
        <w:tc>
          <w:tcPr>
            <w:vAlign w:val="center"/>
          </w:tcPr>
          <w:p>
            <w:pPr>
              <w:jc w:val="right"/>
            </w:pPr>
            <w:r>
              <w:t>80.11</w:t>
            </w:r>
          </w:p>
        </w:tc>
        <w:tc>
          <w:tcPr>
            <w:vAlign w:val="center"/>
          </w:tcPr>
          <w:p>
            <w:pPr>
              <w:jc w:val="right"/>
            </w:pPr>
            <w:r>
              <w:t>0</w:t>
            </w:r>
          </w:p>
        </w:tc>
        <w:tc>
          <w:tcPr>
            <w:vAlign w:val="center"/>
          </w:tcPr>
          <w:p>
            <w:pPr>
              <w:jc w:val="right"/>
            </w:pPr>
            <w:r>
              <w:t>全生命周期</w:t>
            </w:r>
          </w:p>
        </w:tc>
        <w:tc>
          <w:tcPr>
            <w:vAlign w:val="center"/>
          </w:tcPr>
          <w:p>
            <w:pPr>
              <w:jc w:val="right"/>
            </w:pPr>
            <w:r>
              <w:t>129.5</w:t>
            </w:r>
          </w:p>
        </w:tc>
        <w:tc>
          <w:tcPr>
            <w:vAlign w:val="center"/>
          </w:tcPr>
          <w:p>
            <w:pPr>
              <w:jc w:val="right"/>
            </w:pPr>
            <w:r>
              <w:t>10.374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保温门（多功能门）</w:t>
            </w:r>
          </w:p>
        </w:tc>
        <w:tc>
          <w:tcPr>
            <w:vAlign w:val="center"/>
          </w:tcPr>
          <w:p>
            <w:r>
              <w:t>m2</w:t>
            </w:r>
          </w:p>
        </w:tc>
        <w:tc>
          <w:tcPr>
            <w:vAlign w:val="center"/>
          </w:tcPr>
          <w:p>
            <w:pPr>
              <w:jc w:val="right"/>
            </w:pPr>
            <w:r>
              <w:t>25.92</w:t>
            </w:r>
          </w:p>
        </w:tc>
        <w:tc>
          <w:tcPr>
            <w:vAlign w:val="center"/>
          </w:tcPr>
          <w:p>
            <w:pPr>
              <w:jc w:val="right"/>
            </w:pPr>
            <w:r>
              <w:t>0</w:t>
            </w:r>
          </w:p>
        </w:tc>
        <w:tc>
          <w:tcPr>
            <w:vAlign w:val="center"/>
          </w:tcPr>
          <w:p>
            <w:pPr>
              <w:jc w:val="right"/>
            </w:pPr>
            <w:r>
              <w:t>全生命周期</w:t>
            </w:r>
          </w:p>
        </w:tc>
        <w:tc>
          <w:tcPr>
            <w:vAlign w:val="center"/>
          </w:tcPr>
          <w:p>
            <w:pPr>
              <w:jc w:val="right"/>
            </w:pPr>
            <w:r>
              <w:t>48.3</w:t>
            </w:r>
          </w:p>
        </w:tc>
        <w:tc>
          <w:tcPr>
            <w:vAlign w:val="center"/>
          </w:tcPr>
          <w:p>
            <w:pPr>
              <w:jc w:val="right"/>
            </w:pPr>
            <w:r>
              <w:t>1.252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内门</w:t>
            </w:r>
          </w:p>
        </w:tc>
        <w:tc>
          <w:tcPr>
            <w:vAlign w:val="center"/>
          </w:tcPr>
          <w:p>
            <w:r>
              <w:t>m2</w:t>
            </w:r>
          </w:p>
        </w:tc>
        <w:tc>
          <w:tcPr>
            <w:vAlign w:val="center"/>
          </w:tcPr>
          <w:p>
            <w:pPr>
              <w:jc w:val="right"/>
            </w:pPr>
            <w:r>
              <w:t>34.20</w:t>
            </w:r>
          </w:p>
        </w:tc>
        <w:tc>
          <w:tcPr>
            <w:vAlign w:val="center"/>
          </w:tcPr>
          <w:p>
            <w:pPr>
              <w:jc w:val="right"/>
            </w:pPr>
            <w:r>
              <w:t>0</w:t>
            </w:r>
          </w:p>
        </w:tc>
        <w:tc>
          <w:tcPr>
            <w:vAlign w:val="center"/>
          </w:tcPr>
          <w:p>
            <w:pPr>
              <w:jc w:val="right"/>
            </w:pPr>
            <w:r>
              <w:t>全生命周期</w:t>
            </w:r>
          </w:p>
        </w:tc>
        <w:tc>
          <w:tcPr>
            <w:vAlign w:val="center"/>
          </w:tcPr>
          <w:p>
            <w:pPr>
              <w:jc w:val="right"/>
            </w:pPr>
            <w:r>
              <w:t>48.3</w:t>
            </w:r>
          </w:p>
        </w:tc>
        <w:tc>
          <w:tcPr>
            <w:vAlign w:val="center"/>
          </w:tcPr>
          <w:p>
            <w:pPr>
              <w:jc w:val="right"/>
            </w:pPr>
            <w:r>
              <w:t>1.652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r>
              <w:t>m2</w:t>
            </w:r>
          </w:p>
        </w:tc>
        <w:tc>
          <w:tcPr>
            <w:vAlign w:val="center"/>
          </w:tcPr>
          <w:p>
            <w:pPr>
              <w:jc w:val="right"/>
            </w:pPr>
            <w:r>
              <w:t>471.07</w:t>
            </w:r>
          </w:p>
        </w:tc>
        <w:tc>
          <w:tcPr>
            <w:vAlign w:val="center"/>
          </w:tcPr>
          <w:p>
            <w:pPr>
              <w:jc w:val="right"/>
            </w:pPr>
            <w:r>
              <w:t>0</w:t>
            </w:r>
          </w:p>
        </w:tc>
        <w:tc>
          <w:tcPr>
            <w:vAlign w:val="center"/>
          </w:tcPr>
          <w:p>
            <w:pPr>
              <w:jc w:val="right"/>
            </w:pPr>
            <w:r>
              <w:t>全生命周期</w:t>
            </w:r>
          </w:p>
        </w:tc>
        <w:tc>
          <w:tcPr>
            <w:vAlign w:val="center"/>
          </w:tcPr>
          <w:p>
            <w:pPr>
              <w:jc w:val="right"/>
            </w:pPr>
            <w:r>
              <w:t>19.5</w:t>
            </w:r>
          </w:p>
        </w:tc>
        <w:tc>
          <w:tcPr>
            <w:vAlign w:val="center"/>
          </w:tcPr>
          <w:p>
            <w:pPr>
              <w:jc w:val="right"/>
            </w:pPr>
            <w:r>
              <w:t>9.186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r>
              <w:t>t</w:t>
            </w:r>
          </w:p>
        </w:tc>
        <w:tc>
          <w:tcPr>
            <w:vAlign w:val="center"/>
          </w:tcPr>
          <w:p>
            <w:pPr>
              <w:jc w:val="right"/>
            </w:pPr>
            <w:r>
              <w:t>3.30</w:t>
            </w:r>
          </w:p>
        </w:tc>
        <w:tc>
          <w:tcPr>
            <w:vAlign w:val="center"/>
          </w:tcPr>
          <w:p>
            <w:pPr>
              <w:jc w:val="right"/>
            </w:pPr>
            <w:r>
              <w:t>0</w:t>
            </w:r>
          </w:p>
        </w:tc>
        <w:tc>
          <w:tcPr>
            <w:vAlign w:val="center"/>
          </w:tcPr>
          <w:p>
            <w:pPr>
              <w:jc w:val="right"/>
            </w:pPr>
            <w:r>
              <w:t>全生命周期</w:t>
            </w:r>
          </w:p>
        </w:tc>
        <w:tc>
          <w:tcPr>
            <w:vAlign w:val="center"/>
          </w:tcPr>
          <w:p>
            <w:pPr>
              <w:jc w:val="right"/>
            </w:pPr>
            <w:r>
              <w:t>6550</w:t>
            </w:r>
          </w:p>
        </w:tc>
        <w:tc>
          <w:tcPr>
            <w:vAlign w:val="center"/>
          </w:tcPr>
          <w:p>
            <w:pPr>
              <w:jc w:val="right"/>
            </w:pPr>
            <w:r>
              <w:t>21.615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r>
              <w:t>kg</w:t>
            </w:r>
          </w:p>
        </w:tc>
        <w:tc>
          <w:tcPr>
            <w:vAlign w:val="center"/>
          </w:tcPr>
          <w:p>
            <w:pPr>
              <w:jc w:val="right"/>
            </w:pPr>
            <w:r>
              <w:t>462.82</w:t>
            </w:r>
          </w:p>
        </w:tc>
        <w:tc>
          <w:tcPr>
            <w:vAlign w:val="center"/>
          </w:tcPr>
          <w:p>
            <w:pPr>
              <w:jc w:val="right"/>
            </w:pPr>
            <w:r>
              <w:t>0</w:t>
            </w:r>
          </w:p>
        </w:tc>
        <w:tc>
          <w:tcPr>
            <w:vAlign w:val="center"/>
          </w:tcPr>
          <w:p>
            <w:pPr>
              <w:jc w:val="right"/>
            </w:pPr>
            <w:r>
              <w:t>全生命周期</w:t>
            </w:r>
          </w:p>
        </w:tc>
        <w:tc>
          <w:tcPr>
            <w:vAlign w:val="center"/>
          </w:tcPr>
          <w:p>
            <w:pPr>
              <w:jc w:val="right"/>
            </w:pPr>
            <w:r>
              <w:t>94.1</w:t>
            </w:r>
          </w:p>
        </w:tc>
        <w:tc>
          <w:tcPr>
            <w:vAlign w:val="center"/>
          </w:tcPr>
          <w:p>
            <w:pPr>
              <w:jc w:val="right"/>
            </w:pPr>
            <w:r>
              <w:t>43.551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r>
              <w:t>kg</w:t>
            </w:r>
          </w:p>
        </w:tc>
        <w:tc>
          <w:tcPr>
            <w:vAlign w:val="center"/>
          </w:tcPr>
          <w:p>
            <w:pPr>
              <w:jc w:val="right"/>
            </w:pPr>
            <w:r>
              <w:t>1237.50</w:t>
            </w:r>
          </w:p>
        </w:tc>
        <w:tc>
          <w:tcPr>
            <w:vAlign w:val="center"/>
          </w:tcPr>
          <w:p>
            <w:pPr>
              <w:jc w:val="right"/>
            </w:pPr>
            <w:r>
              <w:t>0</w:t>
            </w:r>
          </w:p>
        </w:tc>
        <w:tc>
          <w:tcPr>
            <w:vAlign w:val="center"/>
          </w:tcPr>
          <w:p>
            <w:pPr>
              <w:jc w:val="right"/>
            </w:pPr>
            <w:r>
              <w:t>全生命周期</w:t>
            </w:r>
          </w:p>
        </w:tc>
        <w:tc>
          <w:tcPr>
            <w:vAlign w:val="center"/>
          </w:tcPr>
          <w:p>
            <w:pPr>
              <w:jc w:val="right"/>
            </w:pPr>
            <w:r>
              <w:t>3.6</w:t>
            </w:r>
          </w:p>
        </w:tc>
        <w:tc>
          <w:tcPr>
            <w:vAlign w:val="center"/>
          </w:tcPr>
          <w:p>
            <w:pPr>
              <w:jc w:val="right"/>
            </w:pPr>
            <w:r>
              <w:t>4.455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r>
              <w:t>合计</w:t>
            </w:r>
          </w:p>
        </w:tc>
        <w:tc>
          <w:tcPr>
            <w:vAlign w:val="center"/>
          </w:tcPr>
          <w:p>
            <w:pPr>
              <w:jc w:val="right"/>
            </w:pPr>
            <w:r>
              <w:t>646.326</w:t>
            </w:r>
          </w:p>
        </w:tc>
      </w:tr>
    </w:tbl>
    <w:p>
      <w:pPr>
        <w:pStyle w:val="5"/>
        <w:widowControl w:val="0"/>
        <w:jc w:val="both"/>
        <w:rPr>
          <w:color w:val="000000"/>
        </w:rPr>
      </w:pPr>
      <w:bookmarkStart w:id="72" w:name="_Toc27332"/>
      <w:r>
        <w:rPr>
          <w:color w:val="000000"/>
        </w:rPr>
        <w:t>建材运输阶段</w:t>
      </w:r>
      <w:bookmarkEnd w:id="72"/>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重量(t)</w:t>
            </w:r>
          </w:p>
        </w:tc>
        <w:tc>
          <w:tcPr>
            <w:shd w:val="clear" w:color="auto" w:fill="E6E6E6"/>
            <w:vAlign w:val="center"/>
          </w:tcPr>
          <w:p>
            <w:pPr>
              <w:jc w:val="center"/>
            </w:pPr>
            <w:r>
              <w:t>运输距离</w:t>
            </w:r>
            <w:r>
              <w:br w:type="textWrapping"/>
            </w:r>
            <w:r>
              <w:t>(km)</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(kgCO2e/t·km)</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pPr>
              <w:jc w:val="right"/>
            </w:pPr>
            <w:r>
              <w:t>1557.60</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7.165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pPr>
              <w:jc w:val="right"/>
            </w:pPr>
            <w:r>
              <w:t>9.07</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0.522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pPr>
              <w:jc w:val="right"/>
            </w:pPr>
            <w:r>
              <w:t>26.40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1.518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pPr>
              <w:jc w:val="right"/>
            </w:pPr>
            <w:r>
              <w:t>38.77</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2.229</w:t>
            </w:r>
          </w:p>
        </w:tc>
      </w:tr>
      <w:tr>
        <w:tblPrEx>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pPr>
              <w:jc w:val="right"/>
            </w:pPr>
            <w:r>
              <w:t>3.30</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0.015</w:t>
            </w:r>
          </w:p>
        </w:tc>
      </w:tr>
      <w:tr>
        <w:tblPrEx>
          <w:tblCellMar>
            <w:top w:w="0" w:type="dxa"/>
            <w:left w:w="108" w:type="dxa"/>
            <w:bottom w:w="0" w:type="dxa"/>
            <w:right w:w="108" w:type="dxa"/>
          </w:tblCellMar>
        </w:tblPrEx>
        <w:trPr>
          <w:jc w:val="center"/>
        </w:trPr>
        <w:tc>
          <w:tcPr>
            <w:shd w:val="clear" w:color="auto" w:fill="E6E6E6"/>
            <w:vAlign w:val="center"/>
          </w:tcPr>
          <w:p>
            <w:r>
              <w:t>砂</w:t>
            </w:r>
          </w:p>
        </w:tc>
        <w:tc>
          <w:tcPr>
            <w:vAlign w:val="center"/>
          </w:tcPr>
          <w:p>
            <w:pPr>
              <w:jc w:val="right"/>
            </w:pPr>
            <w:r>
              <w:t>176.88</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10.171</w:t>
            </w:r>
          </w:p>
        </w:tc>
      </w:tr>
      <w:tr>
        <w:tblPrEx>
          <w:tblCellMar>
            <w:top w:w="0" w:type="dxa"/>
            <w:left w:w="108" w:type="dxa"/>
            <w:bottom w:w="0" w:type="dxa"/>
            <w:right w:w="108" w:type="dxa"/>
          </w:tblCellMar>
        </w:tblPrEx>
        <w:trPr>
          <w:jc w:val="center"/>
        </w:trPr>
        <w:tc>
          <w:tcPr>
            <w:shd w:val="clear" w:color="auto" w:fill="E6E6E6"/>
            <w:vAlign w:val="center"/>
          </w:tcPr>
          <w:p>
            <w:r>
              <w:t>挤塑聚苯乙烯泡沫塑料板</w:t>
            </w:r>
          </w:p>
        </w:tc>
        <w:tc>
          <w:tcPr>
            <w:vAlign w:val="center"/>
          </w:tcPr>
          <w:p>
            <w:pPr>
              <w:jc w:val="right"/>
            </w:pPr>
            <w:r>
              <w:t>2.09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蒸压加气混凝土砌块(ρ=600)</w:t>
            </w:r>
          </w:p>
        </w:tc>
        <w:tc>
          <w:tcPr>
            <w:vAlign w:val="center"/>
          </w:tcPr>
          <w:p>
            <w:pPr>
              <w:jc w:val="right"/>
            </w:pPr>
            <w:r>
              <w:t>106.44</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0.490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砌块</w:t>
            </w:r>
          </w:p>
        </w:tc>
        <w:tc>
          <w:tcPr>
            <w:vAlign w:val="center"/>
          </w:tcPr>
          <w:p>
            <w:pPr>
              <w:jc w:val="right"/>
            </w:pPr>
            <w:r>
              <w:t>291.23</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16.746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砖</w:t>
            </w:r>
          </w:p>
        </w:tc>
        <w:tc>
          <w:tcPr>
            <w:vAlign w:val="center"/>
          </w:tcPr>
          <w:p>
            <w:pPr>
              <w:jc w:val="right"/>
            </w:pPr>
            <w:r>
              <w:t>39.48</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2.270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铝合金窗--6高透光单银Low+12空气+6透明玻璃</w:t>
            </w:r>
          </w:p>
        </w:tc>
        <w:tc>
          <w:tcPr>
            <w:vAlign w:val="center"/>
          </w:tcPr>
          <w:p>
            <w:pPr>
              <w:jc w:val="right"/>
            </w:pPr>
            <w:r>
              <w:t>1.15</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0.066</w:t>
            </w:r>
          </w:p>
        </w:tc>
      </w:tr>
      <w:tr>
        <w:tblPrEx>
          <w:tblCellMar>
            <w:top w:w="0" w:type="dxa"/>
            <w:left w:w="108" w:type="dxa"/>
            <w:bottom w:w="0" w:type="dxa"/>
            <w:right w:w="108" w:type="dxa"/>
          </w:tblCellMar>
        </w:tblPrEx>
        <w:trPr>
          <w:jc w:val="center"/>
        </w:trPr>
        <w:tc>
          <w:tcPr>
            <w:shd w:val="clear" w:color="auto" w:fill="E6E6E6"/>
            <w:vAlign w:val="center"/>
          </w:tcPr>
          <w:p>
            <w:r>
              <w:t>断热铝合金窗--5低透光单银Low-E玻璃+12空气+5透明玻璃</w:t>
            </w:r>
          </w:p>
        </w:tc>
        <w:tc>
          <w:tcPr>
            <w:vAlign w:val="center"/>
          </w:tcPr>
          <w:p>
            <w:pPr>
              <w:jc w:val="right"/>
            </w:pPr>
            <w:r>
              <w:t>1.60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0.092</w:t>
            </w:r>
          </w:p>
        </w:tc>
      </w:tr>
      <w:tr>
        <w:tblPrEx>
          <w:tblCellMar>
            <w:top w:w="0" w:type="dxa"/>
            <w:left w:w="108" w:type="dxa"/>
            <w:bottom w:w="0" w:type="dxa"/>
            <w:right w:w="108" w:type="dxa"/>
          </w:tblCellMar>
        </w:tblPrEx>
        <w:trPr>
          <w:jc w:val="center"/>
        </w:trPr>
        <w:tc>
          <w:tcPr>
            <w:shd w:val="clear" w:color="auto" w:fill="E6E6E6"/>
            <w:vAlign w:val="center"/>
          </w:tcPr>
          <w:p>
            <w:r>
              <w:t>保温门（多功能门）</w:t>
            </w:r>
          </w:p>
        </w:tc>
        <w:tc>
          <w:tcPr>
            <w:vAlign w:val="center"/>
          </w:tcPr>
          <w:p>
            <w:pPr>
              <w:jc w:val="right"/>
            </w:pPr>
            <w:r>
              <w:t>0.78</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0.045</w:t>
            </w:r>
          </w:p>
        </w:tc>
      </w:tr>
      <w:tr>
        <w:tblPrEx>
          <w:tblCellMar>
            <w:top w:w="0" w:type="dxa"/>
            <w:left w:w="108" w:type="dxa"/>
            <w:bottom w:w="0" w:type="dxa"/>
            <w:right w:w="108" w:type="dxa"/>
          </w:tblCellMar>
        </w:tblPrEx>
        <w:trPr>
          <w:jc w:val="center"/>
        </w:trPr>
        <w:tc>
          <w:tcPr>
            <w:shd w:val="clear" w:color="auto" w:fill="E6E6E6"/>
            <w:vAlign w:val="center"/>
          </w:tcPr>
          <w:p>
            <w:r>
              <w:t>内门</w:t>
            </w:r>
          </w:p>
        </w:tc>
        <w:tc>
          <w:tcPr>
            <w:vAlign w:val="center"/>
          </w:tcPr>
          <w:p>
            <w:pPr>
              <w:jc w:val="right"/>
            </w:pPr>
            <w:r>
              <w:t>1.03</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pPr>
              <w:jc w:val="right"/>
            </w:pPr>
            <w:r>
              <w:t>14.13</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0.812</w:t>
            </w:r>
          </w:p>
        </w:tc>
      </w:tr>
      <w:tr>
        <w:tblPrEx>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pPr>
              <w:jc w:val="right"/>
            </w:pPr>
            <w:r>
              <w:t>3.30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0.190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pPr>
              <w:jc w:val="right"/>
            </w:pPr>
            <w:r>
              <w:t>0.46</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pPr>
              <w:jc w:val="right"/>
            </w:pPr>
            <w:r>
              <w:t>1.24</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总计</w:t>
            </w:r>
          </w:p>
        </w:tc>
        <w:tc>
          <w:tcPr>
            <w:vAlign w:val="center"/>
          </w:tcPr>
          <w:p>
            <w:pPr>
              <w:jc w:val="right"/>
            </w:pPr>
            <w:r>
              <w:t>42.607</w:t>
            </w:r>
          </w:p>
        </w:tc>
      </w:tr>
    </w:tbl>
    <w:p>
      <w:pPr>
        <w:pStyle w:val="4"/>
        <w:widowControl w:val="0"/>
        <w:jc w:val="both"/>
        <w:rPr>
          <w:color w:val="000000"/>
        </w:rPr>
      </w:pPr>
      <w:bookmarkStart w:id="73" w:name="_Toc11588"/>
      <w:r>
        <w:rPr>
          <w:color w:val="000000"/>
        </w:rPr>
        <w:t>建筑建造拆除碳排放</w:t>
      </w:r>
      <w:bookmarkEnd w:id="73"/>
    </w:p>
    <w:p>
      <w:pPr>
        <w:pStyle w:val="5"/>
        <w:widowControl w:val="0"/>
        <w:jc w:val="both"/>
        <w:rPr>
          <w:color w:val="000000"/>
        </w:rPr>
      </w:pPr>
      <w:bookmarkStart w:id="74" w:name="_Toc1599"/>
      <w:r>
        <w:rPr>
          <w:color w:val="000000"/>
        </w:rPr>
        <w:t>建筑建造</w:t>
      </w:r>
      <w:bookmarkEnd w:id="74"/>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阶段</w:t>
            </w:r>
          </w:p>
        </w:tc>
        <w:tc>
          <w:tcPr>
            <w:shd w:val="clear" w:color="auto" w:fill="E6E6E6"/>
            <w:vAlign w:val="center"/>
          </w:tcPr>
          <w:p>
            <w:pPr>
              <w:jc w:val="center"/>
            </w:pPr>
            <w:r>
              <w:t>建材生产阶段(tCO2)</w:t>
            </w:r>
          </w:p>
        </w:tc>
        <w:tc>
          <w:tcPr>
            <w:shd w:val="clear" w:color="auto" w:fill="E6E6E6"/>
            <w:vAlign w:val="center"/>
          </w:tcPr>
          <w:p>
            <w:pPr>
              <w:jc w:val="center"/>
            </w:pPr>
            <w:r>
              <w:t>建造占建材生产阶段比例(%)</w:t>
            </w:r>
          </w:p>
        </w:tc>
        <w:tc>
          <w:tcPr>
            <w:shd w:val="clear" w:color="auto" w:fill="E6E6E6"/>
            <w:vAlign w:val="center"/>
          </w:tcPr>
          <w:p>
            <w:pPr>
              <w:jc w:val="center"/>
            </w:pPr>
            <w:r>
              <w:t>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建造阶段</w:t>
            </w:r>
          </w:p>
        </w:tc>
        <w:tc>
          <w:tcPr>
            <w:vAlign w:val="center"/>
          </w:tcPr>
          <w:p>
            <w:r>
              <w:t>646.326</w:t>
            </w:r>
          </w:p>
        </w:tc>
        <w:tc>
          <w:tcPr>
            <w:vAlign w:val="center"/>
          </w:tcPr>
          <w:p>
            <w:r>
              <w:t>5</w:t>
            </w:r>
          </w:p>
        </w:tc>
        <w:tc>
          <w:tcPr>
            <w:vAlign w:val="center"/>
          </w:tcPr>
          <w:p>
            <w:r>
              <w:t>32.316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施工临时设施</w:t>
            </w:r>
          </w:p>
        </w:tc>
        <w:tc>
          <w:tcPr>
            <w:gridSpan w:val="2"/>
            <w:shd w:val="clear" w:color="auto" w:fill="E6E6E6"/>
            <w:vAlign w:val="center"/>
          </w:tcPr>
          <w:p>
            <w:r>
              <w:t>碳排放占施工机械碳排放的比例(%)：5</w:t>
            </w:r>
          </w:p>
        </w:tc>
        <w:tc>
          <w:tcPr>
            <w:vAlign w:val="center"/>
          </w:tcPr>
          <w:p>
            <w:r>
              <w:t>1.616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33.932</w:t>
            </w:r>
          </w:p>
        </w:tc>
      </w:tr>
    </w:tbl>
    <w:p>
      <w:pPr>
        <w:pStyle w:val="5"/>
      </w:pPr>
      <w:bookmarkStart w:id="75" w:name="_Toc25929"/>
      <w:r>
        <w:t>建筑拆除</w:t>
      </w:r>
      <w:bookmarkEnd w:id="75"/>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阶段</w:t>
            </w:r>
          </w:p>
        </w:tc>
        <w:tc>
          <w:tcPr>
            <w:shd w:val="clear" w:color="auto" w:fill="E6E6E6"/>
            <w:vAlign w:val="center"/>
          </w:tcPr>
          <w:p>
            <w:pPr>
              <w:jc w:val="center"/>
            </w:pPr>
            <w:r>
              <w:t>建筑建造阶段(tCO2)</w:t>
            </w:r>
          </w:p>
        </w:tc>
        <w:tc>
          <w:tcPr>
            <w:shd w:val="clear" w:color="auto" w:fill="E6E6E6"/>
            <w:vAlign w:val="center"/>
          </w:tcPr>
          <w:p>
            <w:pPr>
              <w:jc w:val="center"/>
            </w:pPr>
            <w:r>
              <w:t>拆除排放占建造阶段比例(%)</w:t>
            </w:r>
          </w:p>
        </w:tc>
        <w:tc>
          <w:tcPr>
            <w:shd w:val="clear" w:color="auto" w:fill="E6E6E6"/>
            <w:vAlign w:val="center"/>
          </w:tcPr>
          <w:p>
            <w:pPr>
              <w:jc w:val="center"/>
            </w:pPr>
            <w:r>
              <w:t>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拆除阶段</w:t>
            </w:r>
          </w:p>
        </w:tc>
        <w:tc>
          <w:tcPr>
            <w:vAlign w:val="center"/>
          </w:tcPr>
          <w:p>
            <w:r>
              <w:t>33.932</w:t>
            </w:r>
          </w:p>
        </w:tc>
        <w:tc>
          <w:tcPr>
            <w:vAlign w:val="center"/>
          </w:tcPr>
          <w:p>
            <w:r>
              <w:t>10</w:t>
            </w:r>
          </w:p>
        </w:tc>
        <w:tc>
          <w:tcPr>
            <w:vAlign w:val="center"/>
          </w:tcPr>
          <w:p>
            <w:r>
              <w:t>3.393</w:t>
            </w:r>
          </w:p>
        </w:tc>
      </w:tr>
    </w:tbl>
    <w:p>
      <w:pPr>
        <w:pStyle w:val="4"/>
        <w:widowControl w:val="0"/>
        <w:jc w:val="both"/>
        <w:rPr>
          <w:color w:val="000000"/>
        </w:rPr>
      </w:pPr>
      <w:bookmarkStart w:id="76" w:name="_Toc26599"/>
      <w:r>
        <w:rPr>
          <w:color w:val="000000"/>
        </w:rPr>
        <w:t>碳汇</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绿植</w:t>
            </w:r>
          </w:p>
        </w:tc>
        <w:tc>
          <w:tcPr>
            <w:shd w:val="clear" w:color="auto" w:fill="E6E6E6"/>
            <w:vAlign w:val="center"/>
          </w:tcPr>
          <w:p>
            <w:pPr>
              <w:jc w:val="center"/>
            </w:pPr>
            <w:r>
              <w:t>CO2固定量kg/(㎡·a)</w:t>
            </w:r>
          </w:p>
        </w:tc>
        <w:tc>
          <w:tcPr>
            <w:shd w:val="clear" w:color="auto" w:fill="E6E6E6"/>
            <w:vAlign w:val="center"/>
          </w:tcPr>
          <w:p>
            <w:pPr>
              <w:jc w:val="center"/>
            </w:pPr>
            <w:r>
              <w:t>面积(㎡)</w:t>
            </w:r>
          </w:p>
        </w:tc>
        <w:tc>
          <w:tcPr>
            <w:shd w:val="clear" w:color="auto" w:fill="E6E6E6"/>
            <w:vAlign w:val="center"/>
          </w:tcPr>
          <w:p>
            <w:pPr>
              <w:jc w:val="center"/>
            </w:pPr>
            <w:r>
              <w:t>年数</w:t>
            </w:r>
          </w:p>
        </w:tc>
        <w:tc>
          <w:tcPr>
            <w:shd w:val="clear" w:color="auto" w:fill="E6E6E6"/>
            <w:vAlign w:val="center"/>
          </w:tcPr>
          <w:p>
            <w:pPr>
              <w:jc w:val="center"/>
            </w:pPr>
            <w:r>
              <w:t>减碳量(tCO2)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大小乔木、灌木、花草密植混种区（乔木平均种植间距&lt;3.0m，土壤深度&gt;1.0m）</w:t>
            </w:r>
          </w:p>
        </w:tc>
        <w:tc>
          <w:tcPr>
            <w:vAlign w:val="center"/>
          </w:tcPr>
          <w:p>
            <w:r>
              <w:t>27.5</w:t>
            </w:r>
          </w:p>
        </w:tc>
        <w:tc>
          <w:tcPr>
            <w:vAlign w:val="center"/>
          </w:tcPr>
          <w:p>
            <w:r>
              <w:t>131</w:t>
            </w:r>
          </w:p>
        </w:tc>
        <w:tc>
          <w:tcPr>
            <w:vMerge w:val="restart"/>
            <w:vAlign w:val="center"/>
          </w:tcPr>
          <w:p>
            <w:r>
              <w:t>50</w:t>
            </w:r>
          </w:p>
        </w:tc>
        <w:tc>
          <w:tcPr>
            <w:vAlign w:val="center"/>
          </w:tcPr>
          <w:p>
            <w:r>
              <w:t>180.125</w:t>
            </w:r>
          </w:p>
        </w:tc>
      </w:tr>
      <w:tr>
        <w:tblPrEx>
          <w:tblCellMar>
            <w:top w:w="0" w:type="dxa"/>
            <w:left w:w="108" w:type="dxa"/>
            <w:bottom w:w="0" w:type="dxa"/>
            <w:right w:w="108" w:type="dxa"/>
          </w:tblCellMar>
        </w:tblPrEx>
        <w:trPr>
          <w:jc w:val="center"/>
        </w:trPr>
        <w:tc>
          <w:tcPr>
            <w:shd w:val="clear" w:color="auto" w:fill="E6E6E6"/>
            <w:vAlign w:val="center"/>
          </w:tcPr>
          <w:p>
            <w:r>
              <w:t>大小乔木密植混种区（平均种植间距&lt;3.0m，土壤深度&gt;0.9m）</w:t>
            </w:r>
          </w:p>
        </w:tc>
        <w:tc>
          <w:tcPr>
            <w:vAlign w:val="center"/>
          </w:tcPr>
          <w:p>
            <w:r>
              <w:t>22.5</w:t>
            </w:r>
          </w:p>
        </w:tc>
        <w:tc>
          <w:tcPr>
            <w:vAlign w:val="center"/>
          </w:tcPr>
          <w:p>
            <w:r>
              <w:t>65</w:t>
            </w:r>
          </w:p>
        </w:tc>
        <w:tc>
          <w:tcPr>
            <w:vMerge w:val="continue"/>
            <w:vAlign w:val="center"/>
          </w:tcPr>
          <w:p/>
        </w:tc>
        <w:tc>
          <w:tcPr>
            <w:vAlign w:val="center"/>
          </w:tcPr>
          <w:p>
            <w:r>
              <w:t>73.125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落叶大乔木（土壤深度&gt;1.0m）</w:t>
            </w:r>
          </w:p>
        </w:tc>
        <w:tc>
          <w:tcPr>
            <w:vAlign w:val="center"/>
          </w:tcPr>
          <w:p>
            <w:r>
              <w:t>20.2</w:t>
            </w:r>
          </w:p>
        </w:tc>
        <w:tc>
          <w:tcPr>
            <w:vAlign w:val="center"/>
          </w:tcPr>
          <w:p>
            <w:r>
              <w:t>65</w:t>
            </w:r>
          </w:p>
        </w:tc>
        <w:tc>
          <w:tcPr>
            <w:vMerge w:val="continue"/>
            <w:vAlign w:val="center"/>
          </w:tcPr>
          <w:p/>
        </w:tc>
        <w:tc>
          <w:tcPr>
            <w:vAlign w:val="center"/>
          </w:tcPr>
          <w:p>
            <w:r>
              <w:t>65.650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落叶小乔木、针叶木或疏叶性乔木（土壤深度&gt;1.0m）</w:t>
            </w:r>
          </w:p>
        </w:tc>
        <w:tc>
          <w:tcPr>
            <w:vAlign w:val="center"/>
          </w:tcPr>
          <w:p>
            <w:r>
              <w:t>14.3</w:t>
            </w:r>
          </w:p>
        </w:tc>
        <w:tc>
          <w:tcPr>
            <w:vAlign w:val="center"/>
          </w:tcPr>
          <w:p>
            <w:r>
              <w:t>65</w:t>
            </w:r>
          </w:p>
        </w:tc>
        <w:tc>
          <w:tcPr>
            <w:vMerge w:val="continue"/>
            <w:vAlign w:val="center"/>
          </w:tcPr>
          <w:p/>
        </w:tc>
        <w:tc>
          <w:tcPr>
            <w:vAlign w:val="center"/>
          </w:tcPr>
          <w:p>
            <w:r>
              <w:t>46.475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阔叶大乔木</w:t>
            </w:r>
          </w:p>
        </w:tc>
        <w:tc>
          <w:tcPr>
            <w:vAlign w:val="center"/>
          </w:tcPr>
          <w:p>
            <w:r>
              <w:t>22.5</w:t>
            </w:r>
          </w:p>
        </w:tc>
        <w:tc>
          <w:tcPr>
            <w:vAlign w:val="center"/>
          </w:tcPr>
          <w:p>
            <w:r>
              <w:t>65</w:t>
            </w:r>
          </w:p>
        </w:tc>
        <w:tc>
          <w:tcPr>
            <w:vMerge w:val="continue"/>
            <w:vAlign w:val="center"/>
          </w:tcPr>
          <w:p/>
        </w:tc>
        <w:tc>
          <w:tcPr>
            <w:vAlign w:val="center"/>
          </w:tcPr>
          <w:p>
            <w:r>
              <w:t>73.125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阔叶小乔木、针叶乔木、疏叶乔木</w:t>
            </w:r>
          </w:p>
        </w:tc>
        <w:tc>
          <w:tcPr>
            <w:vAlign w:val="center"/>
          </w:tcPr>
          <w:p>
            <w:r>
              <w:t>15</w:t>
            </w:r>
          </w:p>
        </w:tc>
        <w:tc>
          <w:tcPr>
            <w:vAlign w:val="center"/>
          </w:tcPr>
          <w:p>
            <w:r>
              <w:t>131</w:t>
            </w:r>
          </w:p>
        </w:tc>
        <w:tc>
          <w:tcPr>
            <w:vMerge w:val="continue"/>
            <w:vAlign w:val="center"/>
          </w:tcPr>
          <w:p/>
        </w:tc>
        <w:tc>
          <w:tcPr>
            <w:vAlign w:val="center"/>
          </w:tcPr>
          <w:p>
            <w:r>
              <w:t>98.250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小棕榈类（土壤深度&gt;1.0m）</w:t>
            </w:r>
          </w:p>
        </w:tc>
        <w:tc>
          <w:tcPr>
            <w:vAlign w:val="center"/>
          </w:tcPr>
          <w:p>
            <w:r>
              <w:t>10.25</w:t>
            </w:r>
          </w:p>
        </w:tc>
        <w:tc>
          <w:tcPr>
            <w:vAlign w:val="center"/>
          </w:tcPr>
          <w:p>
            <w:r>
              <w:t>65</w:t>
            </w:r>
          </w:p>
        </w:tc>
        <w:tc>
          <w:tcPr>
            <w:vMerge w:val="continue"/>
            <w:vAlign w:val="center"/>
          </w:tcPr>
          <w:p/>
        </w:tc>
        <w:tc>
          <w:tcPr>
            <w:vAlign w:val="center"/>
          </w:tcPr>
          <w:p>
            <w:r>
              <w:t>33.313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棕榈类</w:t>
            </w:r>
          </w:p>
        </w:tc>
        <w:tc>
          <w:tcPr>
            <w:vAlign w:val="center"/>
          </w:tcPr>
          <w:p>
            <w:r>
              <w:t>10</w:t>
            </w:r>
          </w:p>
        </w:tc>
        <w:tc>
          <w:tcPr>
            <w:vAlign w:val="center"/>
          </w:tcPr>
          <w:p>
            <w:r>
              <w:t>65</w:t>
            </w:r>
          </w:p>
        </w:tc>
        <w:tc>
          <w:tcPr>
            <w:vMerge w:val="continue"/>
            <w:vAlign w:val="center"/>
          </w:tcPr>
          <w:p/>
        </w:tc>
        <w:tc>
          <w:tcPr>
            <w:vAlign w:val="center"/>
          </w:tcPr>
          <w:p>
            <w:r>
              <w:t>32.500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密植灌木丛（高约1.3m，土壤深度&gt;0.5m）</w:t>
            </w:r>
          </w:p>
        </w:tc>
        <w:tc>
          <w:tcPr>
            <w:vAlign w:val="center"/>
          </w:tcPr>
          <w:p>
            <w:r>
              <w:t>10.95</w:t>
            </w:r>
          </w:p>
        </w:tc>
        <w:tc>
          <w:tcPr>
            <w:vAlign w:val="center"/>
          </w:tcPr>
          <w:p>
            <w:r>
              <w:t>131</w:t>
            </w:r>
          </w:p>
        </w:tc>
        <w:tc>
          <w:tcPr>
            <w:vMerge w:val="continue"/>
            <w:vAlign w:val="center"/>
          </w:tcPr>
          <w:p/>
        </w:tc>
        <w:tc>
          <w:tcPr>
            <w:vAlign w:val="center"/>
          </w:tcPr>
          <w:p>
            <w:r>
              <w:t>71.723</w:t>
            </w:r>
          </w:p>
        </w:tc>
      </w:tr>
      <w:tr>
        <w:tblPrEx>
          <w:tblCellMar>
            <w:top w:w="0" w:type="dxa"/>
            <w:left w:w="108" w:type="dxa"/>
            <w:bottom w:w="0" w:type="dxa"/>
            <w:right w:w="108" w:type="dxa"/>
          </w:tblCellMar>
        </w:tblPrEx>
        <w:trPr>
          <w:jc w:val="center"/>
        </w:trPr>
        <w:tc>
          <w:tcPr>
            <w:shd w:val="clear" w:color="auto" w:fill="E6E6E6"/>
            <w:vAlign w:val="center"/>
          </w:tcPr>
          <w:p>
            <w:r>
              <w:t>密植灌木丛（高约0.9m，土壤深度&gt;0.5m）</w:t>
            </w:r>
          </w:p>
        </w:tc>
        <w:tc>
          <w:tcPr>
            <w:vAlign w:val="center"/>
          </w:tcPr>
          <w:p>
            <w:r>
              <w:t>8.15</w:t>
            </w:r>
          </w:p>
        </w:tc>
        <w:tc>
          <w:tcPr>
            <w:vAlign w:val="center"/>
          </w:tcPr>
          <w:p>
            <w:r>
              <w:t>131</w:t>
            </w:r>
          </w:p>
        </w:tc>
        <w:tc>
          <w:tcPr>
            <w:vMerge w:val="continue"/>
            <w:vAlign w:val="center"/>
          </w:tcPr>
          <w:p/>
        </w:tc>
        <w:tc>
          <w:tcPr>
            <w:vAlign w:val="center"/>
          </w:tcPr>
          <w:p>
            <w:r>
              <w:t>53.383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密植灌木丛（高约0.45m，土壤深度&gt;0.5m）</w:t>
            </w:r>
          </w:p>
        </w:tc>
        <w:tc>
          <w:tcPr>
            <w:vAlign w:val="center"/>
          </w:tcPr>
          <w:p>
            <w:r>
              <w:t>5.13</w:t>
            </w:r>
          </w:p>
        </w:tc>
        <w:tc>
          <w:tcPr>
            <w:vAlign w:val="center"/>
          </w:tcPr>
          <w:p>
            <w:r>
              <w:t>131</w:t>
            </w:r>
          </w:p>
        </w:tc>
        <w:tc>
          <w:tcPr>
            <w:vMerge w:val="continue"/>
            <w:vAlign w:val="center"/>
          </w:tcPr>
          <w:p/>
        </w:tc>
        <w:tc>
          <w:tcPr>
            <w:vAlign w:val="center"/>
          </w:tcPr>
          <w:p>
            <w:r>
              <w:t>33.602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多年生蔓藤（以立体攀附面积计算，土壤深度&gt;0.5m）</w:t>
            </w:r>
          </w:p>
        </w:tc>
        <w:tc>
          <w:tcPr>
            <w:vAlign w:val="center"/>
          </w:tcPr>
          <w:p>
            <w:r>
              <w:t>2.58</w:t>
            </w:r>
          </w:p>
        </w:tc>
        <w:tc>
          <w:tcPr>
            <w:vAlign w:val="center"/>
          </w:tcPr>
          <w:p>
            <w:r>
              <w:t>65</w:t>
            </w:r>
          </w:p>
        </w:tc>
        <w:tc>
          <w:tcPr>
            <w:vMerge w:val="continue"/>
            <w:vAlign w:val="center"/>
          </w:tcPr>
          <w:p/>
        </w:tc>
        <w:tc>
          <w:tcPr>
            <w:vAlign w:val="center"/>
          </w:tcPr>
          <w:p>
            <w:r>
              <w:t>8.385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高草花花圃或高茎野草地（高约1.0m，土壤深度&gt;0.3m）</w:t>
            </w:r>
          </w:p>
        </w:tc>
        <w:tc>
          <w:tcPr>
            <w:vAlign w:val="center"/>
          </w:tcPr>
          <w:p>
            <w:r>
              <w:t>1.15</w:t>
            </w:r>
          </w:p>
        </w:tc>
        <w:tc>
          <w:tcPr>
            <w:vAlign w:val="center"/>
          </w:tcPr>
          <w:p>
            <w:r>
              <w:t>65</w:t>
            </w:r>
          </w:p>
        </w:tc>
        <w:tc>
          <w:tcPr>
            <w:vMerge w:val="continue"/>
            <w:vAlign w:val="center"/>
          </w:tcPr>
          <w:p/>
        </w:tc>
        <w:tc>
          <w:tcPr>
            <w:vAlign w:val="center"/>
          </w:tcPr>
          <w:p>
            <w:r>
              <w:t>3.738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一年生蔓藤、低草花花圃或低茎野草地（高约0.25m，土壤深度&gt;0.3m）</w:t>
            </w:r>
          </w:p>
        </w:tc>
        <w:tc>
          <w:tcPr>
            <w:vAlign w:val="center"/>
          </w:tcPr>
          <w:p>
            <w:r>
              <w:t>0.34</w:t>
            </w:r>
          </w:p>
        </w:tc>
        <w:tc>
          <w:tcPr>
            <w:vAlign w:val="center"/>
          </w:tcPr>
          <w:p>
            <w:r>
              <w:t>65</w:t>
            </w:r>
          </w:p>
        </w:tc>
        <w:tc>
          <w:tcPr>
            <w:vMerge w:val="continue"/>
            <w:vAlign w:val="center"/>
          </w:tcPr>
          <w:p/>
        </w:tc>
        <w:tc>
          <w:tcPr>
            <w:vAlign w:val="center"/>
          </w:tcPr>
          <w:p>
            <w:r>
              <w:t>1.105</w:t>
            </w:r>
          </w:p>
        </w:tc>
      </w:tr>
      <w:tr>
        <w:tblPrEx>
          <w:tblCellMar>
            <w:top w:w="0" w:type="dxa"/>
            <w:left w:w="108" w:type="dxa"/>
            <w:bottom w:w="0" w:type="dxa"/>
            <w:right w:w="108" w:type="dxa"/>
          </w:tblCellMar>
        </w:tblPrEx>
        <w:trPr>
          <w:jc w:val="center"/>
        </w:trPr>
        <w:tc>
          <w:tcPr>
            <w:shd w:val="clear" w:color="auto" w:fill="E6E6E6"/>
            <w:vAlign w:val="center"/>
          </w:tcPr>
          <w:p>
            <w:r>
              <w:t>草花花圃、自然野草、草坪、水生植物</w:t>
            </w:r>
          </w:p>
        </w:tc>
        <w:tc>
          <w:tcPr>
            <w:vAlign w:val="center"/>
          </w:tcPr>
          <w:p>
            <w:r>
              <w:t>0.5</w:t>
            </w:r>
          </w:p>
        </w:tc>
        <w:tc>
          <w:tcPr>
            <w:vAlign w:val="center"/>
          </w:tcPr>
          <w:p>
            <w:r>
              <w:t>131</w:t>
            </w:r>
          </w:p>
        </w:tc>
        <w:tc>
          <w:tcPr>
            <w:vMerge w:val="continue"/>
            <w:vAlign w:val="center"/>
          </w:tcPr>
          <w:p/>
        </w:tc>
        <w:tc>
          <w:tcPr>
            <w:vAlign w:val="center"/>
          </w:tcPr>
          <w:p>
            <w:r>
              <w:t>3.275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r>
              <w:t>合计</w:t>
            </w:r>
          </w:p>
        </w:tc>
        <w:tc>
          <w:tcPr>
            <w:vAlign w:val="center"/>
          </w:tcPr>
          <w:p>
            <w:r>
              <w:t>777.774</w:t>
            </w:r>
          </w:p>
        </w:tc>
      </w:tr>
    </w:tbl>
    <w:p>
      <w:pPr>
        <w:widowControl w:val="0"/>
        <w:jc w:val="both"/>
        <w:rPr>
          <w:color w:val="000000"/>
        </w:rPr>
      </w:pPr>
      <w:r>
        <w:rPr>
          <w:color w:val="000000"/>
        </w:rPr>
        <w:t>注：碳汇的计算考虑了植物生长期的影响。</w:t>
      </w:r>
    </w:p>
    <w:p>
      <w:pPr>
        <w:pStyle w:val="4"/>
        <w:widowControl w:val="0"/>
        <w:jc w:val="both"/>
        <w:rPr>
          <w:color w:val="000000"/>
        </w:rPr>
      </w:pPr>
      <w:bookmarkStart w:id="77" w:name="_Toc10183"/>
      <w:r>
        <w:rPr>
          <w:color w:val="000000"/>
        </w:rPr>
        <w:t>建筑运行碳排放</w:t>
      </w:r>
      <w:bookmarkEnd w:id="77"/>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tblPrEx>
          <w:tblCellMar>
            <w:top w:w="0" w:type="dxa"/>
            <w:left w:w="108" w:type="dxa"/>
            <w:bottom w:w="0" w:type="dxa"/>
            <w:right w:w="108" w:type="dxa"/>
          </w:tblCellMar>
        </w:tblPrEx>
        <w:trPr>
          <w:trHeight w:val="538" w:hRule="atLeast"/>
        </w:trPr>
        <w:tc>
          <w:tcPr>
            <w:tcW w:w="1526" w:type="dxa"/>
            <w:shd w:val="clear" w:color="auto" w:fill="D0CECE"/>
            <w:vAlign w:val="center"/>
          </w:tcPr>
          <w:p>
            <w:pPr>
              <w:ind w:firstLine="0" w:firstLineChars="0"/>
              <w:jc w:val="center"/>
              <w:rPr>
                <w:lang w:val="en-US"/>
              </w:rPr>
            </w:pPr>
            <w:r>
              <w:rPr>
                <w:rFonts w:hint="eastAsia"/>
                <w:lang w:val="en-US"/>
              </w:rPr>
              <w:t>电力</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lang w:val="en-US"/>
              </w:rPr>
              <w:t xml:space="preserve">耗电 </w:t>
            </w:r>
          </w:p>
          <w:p>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p>
          <w:p>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碳排放量(t</w:t>
            </w:r>
            <w:r>
              <w:rPr>
                <w:lang w:val="en-US"/>
              </w:rPr>
              <w: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供冷</w:t>
            </w:r>
          </w:p>
          <w:p>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pPr>
              <w:ind w:firstLine="0" w:firstLineChars="0"/>
              <w:jc w:val="center"/>
              <w:rPr>
                <w:lang w:val="en-US"/>
              </w:rPr>
            </w:pPr>
            <w:r>
              <w:rPr>
                <w:rFonts w:hint="eastAsia"/>
                <w:lang w:val="en-US"/>
              </w:rPr>
              <w:t>中央冷源</w:t>
            </w:r>
          </w:p>
        </w:tc>
        <w:tc>
          <w:tcPr>
            <w:tcW w:w="1843" w:type="dxa"/>
            <w:vAlign w:val="center"/>
          </w:tcPr>
          <w:p>
            <w:pPr>
              <w:ind w:firstLine="0" w:firstLineChars="0"/>
              <w:jc w:val="center"/>
              <w:rPr>
                <w:lang w:val="en-US"/>
              </w:rPr>
            </w:pPr>
            <w:r>
              <w:rPr>
                <w:lang w:val="en-US"/>
              </w:rPr>
              <w:t>0.00</w:t>
            </w:r>
            <w:bookmarkEnd w:id="1"/>
          </w:p>
        </w:tc>
        <w:tc>
          <w:tcPr>
            <w:tcW w:w="1701" w:type="dxa"/>
            <w:vMerge w:val="restart"/>
            <w:vAlign w:val="center"/>
          </w:tcPr>
          <w:p>
            <w:pPr>
              <w:ind w:firstLine="0" w:firstLineChars="0"/>
              <w:jc w:val="center"/>
              <w:rPr>
                <w:lang w:val="en-US"/>
              </w:rPr>
            </w:pPr>
            <w:r>
              <w:t>0.5703</w:t>
            </w:r>
            <w:bookmarkEnd w:id="2"/>
          </w:p>
        </w:tc>
        <w:tc>
          <w:tcPr>
            <w:tcW w:w="1570" w:type="dxa"/>
            <w:vMerge w:val="restart"/>
            <w:vAlign w:val="center"/>
          </w:tcPr>
          <w:p>
            <w:pPr>
              <w:ind w:firstLine="0" w:firstLineChars="0"/>
              <w:jc w:val="center"/>
              <w:rPr>
                <w:lang w:val="en-US"/>
              </w:rPr>
            </w:pPr>
            <w:r>
              <w:t>308.715</w:t>
            </w:r>
            <w:bookmarkEnd w:id="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冷却水泵</w:t>
            </w:r>
          </w:p>
        </w:tc>
        <w:tc>
          <w:tcPr>
            <w:tcW w:w="1843" w:type="dxa"/>
            <w:vAlign w:val="center"/>
          </w:tcPr>
          <w:p>
            <w:pPr>
              <w:ind w:firstLine="0" w:firstLineChars="0"/>
              <w:jc w:val="center"/>
              <w:rPr>
                <w:lang w:val="en-US"/>
              </w:rPr>
            </w:pPr>
            <w:r>
              <w:rPr>
                <w:lang w:val="en-US"/>
              </w:rPr>
              <w:t>0.00</w:t>
            </w:r>
            <w:bookmarkEnd w:id="4"/>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冷冻水泵</w:t>
            </w:r>
          </w:p>
        </w:tc>
        <w:tc>
          <w:tcPr>
            <w:tcW w:w="1843" w:type="dxa"/>
            <w:vAlign w:val="center"/>
          </w:tcPr>
          <w:p>
            <w:pPr>
              <w:ind w:firstLine="0" w:firstLineChars="0"/>
              <w:jc w:val="center"/>
              <w:rPr>
                <w:lang w:val="en-US"/>
              </w:rPr>
            </w:pPr>
            <w:r>
              <w:rPr>
                <w:lang w:val="en-US"/>
              </w:rPr>
              <w:t>0.00</w:t>
            </w:r>
            <w:bookmarkEnd w:id="5"/>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w:t>
            </w:r>
            <w:r>
              <w:rPr>
                <w:lang w:val="en-US"/>
              </w:rPr>
              <w:t>塔</w:t>
            </w:r>
          </w:p>
        </w:tc>
        <w:tc>
          <w:tcPr>
            <w:tcW w:w="1843" w:type="dxa"/>
            <w:vAlign w:val="center"/>
          </w:tcPr>
          <w:p>
            <w:pPr>
              <w:ind w:firstLine="0" w:firstLineChars="0"/>
              <w:jc w:val="center"/>
              <w:rPr>
                <w:lang w:val="en-US"/>
              </w:rPr>
            </w:pPr>
            <w:r>
              <w:rPr>
                <w:rFonts w:hint="eastAsia"/>
                <w:lang w:val="en-US"/>
              </w:rPr>
              <w:t>0.00</w:t>
            </w:r>
            <w:bookmarkEnd w:id="6"/>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多联机/单元式空调</w:t>
            </w:r>
          </w:p>
        </w:tc>
        <w:tc>
          <w:tcPr>
            <w:tcW w:w="1843" w:type="dxa"/>
            <w:vAlign w:val="center"/>
          </w:tcPr>
          <w:p>
            <w:pPr>
              <w:ind w:firstLine="0" w:firstLineChars="0"/>
              <w:jc w:val="center"/>
              <w:rPr>
                <w:lang w:val="en-US"/>
              </w:rPr>
            </w:pPr>
            <w:r>
              <w:rPr>
                <w:lang w:val="en-US"/>
              </w:rPr>
              <w:t>656.14</w:t>
            </w:r>
            <w:bookmarkEnd w:id="7"/>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供冷合计</w:t>
            </w:r>
          </w:p>
        </w:tc>
        <w:tc>
          <w:tcPr>
            <w:tcW w:w="1843" w:type="dxa"/>
            <w:vAlign w:val="center"/>
          </w:tcPr>
          <w:p>
            <w:pPr>
              <w:ind w:firstLine="0" w:firstLineChars="0"/>
              <w:jc w:val="center"/>
              <w:rPr>
                <w:lang w:val="en-US"/>
              </w:rPr>
            </w:pPr>
            <w:r>
              <w:rPr>
                <w:lang w:val="en-US"/>
              </w:rPr>
              <w:t>656.14</w:t>
            </w:r>
            <w:bookmarkEnd w:id="8"/>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供暖</w:t>
            </w:r>
          </w:p>
          <w:p>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pPr>
              <w:ind w:firstLine="0" w:firstLineChars="0"/>
              <w:jc w:val="center"/>
              <w:rPr>
                <w:lang w:val="en-US"/>
              </w:rPr>
            </w:pPr>
            <w:r>
              <w:rPr>
                <w:rFonts w:hint="eastAsia"/>
                <w:lang w:val="en-US"/>
              </w:rPr>
              <w:t>中央热源</w:t>
            </w:r>
          </w:p>
        </w:tc>
        <w:tc>
          <w:tcPr>
            <w:tcW w:w="1843" w:type="dxa"/>
            <w:vAlign w:val="center"/>
          </w:tcPr>
          <w:p>
            <w:pPr>
              <w:ind w:firstLine="0" w:firstLineChars="0"/>
              <w:jc w:val="center"/>
              <w:rPr>
                <w:lang w:val="en-US"/>
              </w:rPr>
            </w:pPr>
            <w:r>
              <w:rPr>
                <w:lang w:val="en-US"/>
              </w:rPr>
              <w:t>0.00</w:t>
            </w:r>
            <w:bookmarkEnd w:id="9"/>
          </w:p>
        </w:tc>
        <w:tc>
          <w:tcPr>
            <w:tcW w:w="1701" w:type="dxa"/>
            <w:vMerge w:val="restart"/>
            <w:vAlign w:val="center"/>
          </w:tcPr>
          <w:p>
            <w:pPr>
              <w:ind w:firstLine="0" w:firstLineChars="0"/>
              <w:jc w:val="center"/>
              <w:rPr>
                <w:lang w:val="en-US"/>
              </w:rPr>
            </w:pPr>
            <w:r>
              <w:t>0.5703</w:t>
            </w:r>
            <w:bookmarkEnd w:id="10"/>
          </w:p>
        </w:tc>
        <w:tc>
          <w:tcPr>
            <w:tcW w:w="1570" w:type="dxa"/>
            <w:vMerge w:val="restart"/>
            <w:vAlign w:val="center"/>
          </w:tcPr>
          <w:p>
            <w:pPr>
              <w:ind w:firstLine="0" w:firstLineChars="0"/>
              <w:jc w:val="center"/>
              <w:rPr>
                <w:lang w:val="en-US"/>
              </w:rPr>
            </w:pPr>
            <w:r>
              <w:t>0.000</w:t>
            </w:r>
            <w:bookmarkEnd w:id="11"/>
          </w:p>
        </w:tc>
      </w:tr>
      <w:tr>
        <w:tblPrEx>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供暖水泵</w:t>
            </w:r>
          </w:p>
        </w:tc>
        <w:tc>
          <w:tcPr>
            <w:tcW w:w="1843" w:type="dxa"/>
            <w:vAlign w:val="center"/>
          </w:tcPr>
          <w:p>
            <w:pPr>
              <w:ind w:firstLine="0" w:firstLineChars="0"/>
              <w:jc w:val="center"/>
              <w:rPr>
                <w:lang w:val="en-US"/>
              </w:rPr>
            </w:pPr>
            <w:r>
              <w:rPr>
                <w:lang w:val="en-US"/>
              </w:rPr>
              <w:t>0.00</w:t>
            </w:r>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热源侧</w:t>
            </w:r>
            <w:r>
              <w:rPr>
                <w:lang w:val="en-US"/>
              </w:rPr>
              <w:t>水泵</w:t>
            </w:r>
          </w:p>
        </w:tc>
        <w:tc>
          <w:tcPr>
            <w:tcW w:w="1843" w:type="dxa"/>
            <w:vAlign w:val="center"/>
          </w:tcPr>
          <w:p>
            <w:pPr>
              <w:ind w:firstLine="0" w:firstLineChars="0"/>
              <w:jc w:val="center"/>
              <w:rPr>
                <w:lang w:val="en-US"/>
              </w:rPr>
            </w:pPr>
            <w:r>
              <w:rPr>
                <w:rFonts w:hint="eastAsia"/>
                <w:lang w:val="en-US"/>
              </w:rPr>
              <w:t>0.00</w:t>
            </w:r>
            <w:bookmarkEnd w:id="13"/>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多联机/单元式热泵/壁挂炉</w:t>
            </w:r>
          </w:p>
        </w:tc>
        <w:tc>
          <w:tcPr>
            <w:tcW w:w="1843" w:type="dxa"/>
            <w:vAlign w:val="center"/>
          </w:tcPr>
          <w:p>
            <w:pPr>
              <w:ind w:firstLine="0" w:firstLineChars="0"/>
              <w:jc w:val="center"/>
              <w:rPr>
                <w:lang w:val="en-US"/>
              </w:rPr>
            </w:pPr>
            <w:r>
              <w:rPr>
                <w:lang w:val="en-US"/>
              </w:rPr>
              <w:t>0.00</w:t>
            </w:r>
            <w:bookmarkEnd w:id="14"/>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供暖合计</w:t>
            </w:r>
          </w:p>
        </w:tc>
        <w:tc>
          <w:tcPr>
            <w:tcW w:w="1843" w:type="dxa"/>
            <w:vAlign w:val="center"/>
          </w:tcPr>
          <w:p>
            <w:pPr>
              <w:ind w:firstLine="0" w:firstLineChars="0"/>
              <w:jc w:val="center"/>
              <w:rPr>
                <w:lang w:val="en-US"/>
              </w:rPr>
            </w:pPr>
            <w:r>
              <w:rPr>
                <w:lang w:val="en-US"/>
              </w:rPr>
              <w:t>0.00</w:t>
            </w:r>
            <w:bookmarkEnd w:id="15"/>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空调</w:t>
            </w:r>
          </w:p>
          <w:p>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pPr>
              <w:ind w:firstLine="0" w:firstLineChars="0"/>
              <w:jc w:val="center"/>
              <w:rPr>
                <w:lang w:val="en-US"/>
              </w:rPr>
            </w:pPr>
            <w:r>
              <w:rPr>
                <w:rFonts w:hint="eastAsia"/>
                <w:lang w:val="en-US"/>
              </w:rPr>
              <w:t>新排风</w:t>
            </w:r>
          </w:p>
        </w:tc>
        <w:tc>
          <w:tcPr>
            <w:tcW w:w="1843" w:type="dxa"/>
            <w:vAlign w:val="center"/>
          </w:tcPr>
          <w:p>
            <w:pPr>
              <w:ind w:firstLine="0" w:firstLineChars="0"/>
              <w:jc w:val="center"/>
              <w:rPr>
                <w:lang w:val="en-US"/>
              </w:rPr>
            </w:pPr>
            <w:r>
              <w:rPr>
                <w:rFonts w:hint="eastAsia"/>
                <w:lang w:val="en-US"/>
              </w:rPr>
              <w:t>247.54</w:t>
            </w:r>
            <w:bookmarkEnd w:id="16"/>
          </w:p>
        </w:tc>
        <w:tc>
          <w:tcPr>
            <w:tcW w:w="1701" w:type="dxa"/>
            <w:vMerge w:val="restart"/>
            <w:vAlign w:val="center"/>
          </w:tcPr>
          <w:p>
            <w:pPr>
              <w:ind w:firstLine="0" w:firstLineChars="0"/>
              <w:jc w:val="center"/>
              <w:rPr>
                <w:lang w:val="en-US"/>
              </w:rPr>
            </w:pPr>
            <w:r>
              <w:t>0.5703</w:t>
            </w:r>
            <w:bookmarkEnd w:id="17"/>
          </w:p>
        </w:tc>
        <w:tc>
          <w:tcPr>
            <w:tcW w:w="1570" w:type="dxa"/>
            <w:vMerge w:val="restart"/>
            <w:vAlign w:val="center"/>
          </w:tcPr>
          <w:p>
            <w:pPr>
              <w:ind w:firstLine="0" w:firstLineChars="0"/>
              <w:jc w:val="center"/>
              <w:rPr>
                <w:lang w:val="en-US"/>
              </w:rPr>
            </w:pPr>
            <w:r>
              <w:t>116.467</w:t>
            </w:r>
            <w:bookmarkEnd w:id="1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风机盘管</w:t>
            </w:r>
          </w:p>
        </w:tc>
        <w:tc>
          <w:tcPr>
            <w:tcW w:w="1843" w:type="dxa"/>
            <w:vAlign w:val="center"/>
          </w:tcPr>
          <w:p>
            <w:pPr>
              <w:ind w:firstLine="0" w:firstLineChars="0"/>
              <w:jc w:val="center"/>
              <w:rPr>
                <w:lang w:val="en-US"/>
              </w:rPr>
            </w:pPr>
            <w:r>
              <w:rPr>
                <w:rFonts w:hint="eastAsia"/>
                <w:lang w:val="en-US"/>
              </w:rPr>
              <w:t>0.00</w:t>
            </w:r>
            <w:bookmarkEnd w:id="19"/>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全空气系统</w:t>
            </w:r>
          </w:p>
        </w:tc>
        <w:tc>
          <w:tcPr>
            <w:tcW w:w="1843" w:type="dxa"/>
            <w:vAlign w:val="center"/>
          </w:tcPr>
          <w:p>
            <w:pPr>
              <w:ind w:firstLine="0" w:firstLineChars="0"/>
              <w:jc w:val="center"/>
              <w:rPr>
                <w:lang w:val="en-US"/>
              </w:rPr>
            </w:pPr>
            <w:r>
              <w:rPr>
                <w:rFonts w:hint="eastAsia"/>
                <w:lang w:val="en-US"/>
              </w:rPr>
              <w:t>0.00</w:t>
            </w:r>
            <w:bookmarkEnd w:id="20"/>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风机合计</w:t>
            </w:r>
          </w:p>
        </w:tc>
        <w:tc>
          <w:tcPr>
            <w:tcW w:w="1843" w:type="dxa"/>
            <w:vAlign w:val="center"/>
          </w:tcPr>
          <w:p>
            <w:pPr>
              <w:ind w:firstLine="0" w:firstLineChars="0"/>
              <w:jc w:val="center"/>
              <w:rPr>
                <w:lang w:val="en-US"/>
              </w:rPr>
            </w:pPr>
            <w:r>
              <w:rPr>
                <w:rFonts w:hint="eastAsia"/>
                <w:lang w:val="en-US"/>
              </w:rPr>
              <w:t>247.54</w:t>
            </w:r>
            <w:bookmarkEnd w:id="21"/>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照明</w:t>
            </w:r>
          </w:p>
        </w:tc>
        <w:tc>
          <w:tcPr>
            <w:tcW w:w="1843" w:type="dxa"/>
            <w:vAlign w:val="center"/>
          </w:tcPr>
          <w:p>
            <w:pPr>
              <w:ind w:firstLine="0" w:firstLineChars="0"/>
              <w:jc w:val="center"/>
              <w:rPr>
                <w:lang w:val="en-US"/>
              </w:rPr>
            </w:pPr>
            <w:r>
              <w:rPr>
                <w:rFonts w:hint="eastAsia"/>
                <w:lang w:val="en-US"/>
              </w:rPr>
              <w:t>847.44</w:t>
            </w:r>
            <w:bookmarkEnd w:id="22"/>
          </w:p>
        </w:tc>
        <w:tc>
          <w:tcPr>
            <w:tcW w:w="1701" w:type="dxa"/>
            <w:vAlign w:val="center"/>
          </w:tcPr>
          <w:p>
            <w:pPr>
              <w:ind w:firstLine="0" w:firstLineChars="0"/>
              <w:jc w:val="center"/>
              <w:rPr>
                <w:lang w:val="en-US"/>
              </w:rPr>
            </w:pPr>
            <w:r>
              <w:t>0.5703</w:t>
            </w:r>
            <w:bookmarkEnd w:id="23"/>
          </w:p>
        </w:tc>
        <w:tc>
          <w:tcPr>
            <w:tcW w:w="1570" w:type="dxa"/>
          </w:tcPr>
          <w:p>
            <w:pPr>
              <w:ind w:firstLine="0" w:firstLineChars="0"/>
              <w:jc w:val="center"/>
              <w:rPr>
                <w:lang w:val="en-US"/>
              </w:rPr>
            </w:pPr>
            <w:r>
              <w:t>398.717</w:t>
            </w:r>
            <w:bookmarkEnd w:id="24"/>
          </w:p>
        </w:tc>
      </w:tr>
      <w:bookmarkEnd w:id="25"/>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插座</w:t>
            </w:r>
            <w:r>
              <w:rPr>
                <w:lang w:val="en-US"/>
              </w:rPr>
              <w:t>设备</w:t>
            </w:r>
          </w:p>
        </w:tc>
        <w:tc>
          <w:tcPr>
            <w:tcW w:w="1843" w:type="dxa"/>
            <w:vAlign w:val="center"/>
          </w:tcPr>
          <w:p>
            <w:pPr>
              <w:ind w:firstLine="0" w:firstLineChars="0"/>
              <w:jc w:val="center"/>
              <w:rPr>
                <w:lang w:val="en-US"/>
              </w:rPr>
            </w:pPr>
            <w:r>
              <w:rPr>
                <w:rFonts w:hint="eastAsia"/>
                <w:lang w:val="en-US"/>
              </w:rPr>
              <w:t>1873.36</w:t>
            </w:r>
            <w:bookmarkEnd w:id="26"/>
          </w:p>
        </w:tc>
        <w:tc>
          <w:tcPr>
            <w:tcW w:w="1701" w:type="dxa"/>
            <w:vAlign w:val="center"/>
          </w:tcPr>
          <w:p>
            <w:pPr>
              <w:ind w:firstLine="0" w:firstLineChars="0"/>
              <w:jc w:val="center"/>
              <w:rPr>
                <w:lang w:val="en-US"/>
              </w:rPr>
            </w:pPr>
            <w:r>
              <w:rPr>
                <w:rFonts w:hint="eastAsia"/>
                <w:lang w:val="en-US"/>
              </w:rPr>
              <w:t>0.5703</w:t>
            </w:r>
            <w:bookmarkEnd w:id="27"/>
          </w:p>
        </w:tc>
        <w:tc>
          <w:tcPr>
            <w:tcW w:w="1570" w:type="dxa"/>
          </w:tcPr>
          <w:p>
            <w:pPr>
              <w:ind w:firstLine="0" w:firstLineChars="0"/>
              <w:jc w:val="center"/>
              <w:rPr>
                <w:lang w:val="en-US"/>
              </w:rPr>
            </w:pPr>
            <w:r>
              <w:rPr>
                <w:rFonts w:hint="eastAsia"/>
                <w:lang w:val="en-US"/>
              </w:rPr>
              <w:t>881.412</w:t>
            </w:r>
            <w:bookmarkEnd w:id="2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pPr>
              <w:ind w:firstLine="0" w:firstLineChars="0"/>
              <w:jc w:val="center"/>
              <w:rPr>
                <w:lang w:val="en-US"/>
              </w:rPr>
            </w:pPr>
            <w:r>
              <w:rPr>
                <w:rFonts w:hint="eastAsia"/>
                <w:lang w:val="en-US"/>
              </w:rPr>
              <w:t>电梯</w:t>
            </w:r>
          </w:p>
        </w:tc>
        <w:tc>
          <w:tcPr>
            <w:tcW w:w="1843" w:type="dxa"/>
            <w:vAlign w:val="center"/>
          </w:tcPr>
          <w:p>
            <w:pPr>
              <w:ind w:firstLine="0" w:firstLineChars="0"/>
              <w:jc w:val="center"/>
              <w:rPr>
                <w:lang w:val="en-US"/>
              </w:rPr>
            </w:pPr>
            <w:r>
              <w:rPr>
                <w:rFonts w:hint="eastAsia"/>
                <w:lang w:val="en-US"/>
              </w:rPr>
              <w:t>0.00</w:t>
            </w:r>
            <w:bookmarkEnd w:id="29"/>
          </w:p>
        </w:tc>
        <w:tc>
          <w:tcPr>
            <w:tcW w:w="1701" w:type="dxa"/>
            <w:vMerge w:val="restart"/>
            <w:vAlign w:val="center"/>
          </w:tcPr>
          <w:p>
            <w:pPr>
              <w:ind w:firstLine="0" w:firstLineChars="0"/>
              <w:jc w:val="center"/>
              <w:rPr>
                <w:lang w:val="en-US"/>
              </w:rPr>
            </w:pPr>
            <w:r>
              <w:t>0.5703</w:t>
            </w:r>
            <w:bookmarkEnd w:id="30"/>
          </w:p>
        </w:tc>
        <w:tc>
          <w:tcPr>
            <w:tcW w:w="1570" w:type="dxa"/>
            <w:vMerge w:val="restart"/>
            <w:vAlign w:val="center"/>
          </w:tcPr>
          <w:p>
            <w:pPr>
              <w:ind w:firstLine="0" w:firstLineChars="0"/>
              <w:jc w:val="center"/>
              <w:rPr>
                <w:lang w:val="en-US"/>
              </w:rPr>
            </w:pPr>
            <w:r>
              <w:t>3459.111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排风机</w:t>
            </w:r>
          </w:p>
        </w:tc>
        <w:tc>
          <w:tcPr>
            <w:tcW w:w="1843" w:type="dxa"/>
            <w:vAlign w:val="center"/>
          </w:tcPr>
          <w:p>
            <w:pPr>
              <w:ind w:firstLine="0" w:firstLineChars="0"/>
              <w:jc w:val="center"/>
              <w:rPr>
                <w:lang w:val="en-US"/>
              </w:rPr>
            </w:pPr>
            <w:r>
              <w:rPr>
                <w:rFonts w:hint="eastAsia"/>
                <w:lang w:val="en-US"/>
              </w:rPr>
              <w:t>1769.70</w:t>
            </w:r>
            <w:bookmarkEnd w:id="32"/>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bookmarkEnd w:id="33"/>
        </w:tc>
        <w:tc>
          <w:tcPr>
            <w:tcW w:w="2693" w:type="dxa"/>
            <w:shd w:val="clear" w:color="auto" w:fill="FFFFFF"/>
            <w:vAlign w:val="center"/>
          </w:tcPr>
          <w:p>
            <w:pPr>
              <w:ind w:firstLine="0" w:firstLineChars="0"/>
              <w:jc w:val="center"/>
              <w:rPr>
                <w:lang w:val="en-US"/>
              </w:rPr>
            </w:pPr>
            <w:r>
              <w:rPr>
                <w:rFonts w:hint="eastAsia"/>
                <w:lang w:val="en-US"/>
              </w:rPr>
              <w:t>生活热水(扣减</w:t>
            </w:r>
            <w:r>
              <w:rPr>
                <w:lang w:val="en-US"/>
              </w:rPr>
              <w:t>了太阳能</w:t>
            </w:r>
            <w:r>
              <w:rPr>
                <w:rFonts w:hint="eastAsia"/>
                <w:lang w:val="en-US"/>
              </w:rPr>
              <w:t>)</w:t>
            </w:r>
          </w:p>
        </w:tc>
        <w:tc>
          <w:tcPr>
            <w:tcW w:w="1843" w:type="dxa"/>
            <w:vAlign w:val="center"/>
          </w:tcPr>
          <w:p>
            <w:pPr>
              <w:ind w:firstLine="0" w:firstLineChars="0"/>
              <w:jc w:val="center"/>
              <w:rPr>
                <w:lang w:val="en-US"/>
              </w:rPr>
            </w:pPr>
            <w:r>
              <w:rPr>
                <w:rFonts w:hint="eastAsia"/>
                <w:lang w:val="en-US"/>
              </w:rPr>
              <w:t>5582.33</w:t>
            </w:r>
            <w:bookmarkEnd w:id="35"/>
            <w:r>
              <w:rPr>
                <w:lang w:val="en-US"/>
              </w:rPr>
              <w:t xml:space="preserve"> </w:t>
            </w:r>
            <w:bookmarkEnd w:id="36"/>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炊事</w:t>
            </w:r>
          </w:p>
        </w:tc>
        <w:tc>
          <w:tcPr>
            <w:tcW w:w="1843" w:type="dxa"/>
            <w:vAlign w:val="center"/>
          </w:tcPr>
          <w:p>
            <w:pPr>
              <w:ind w:firstLine="0" w:firstLineChars="0"/>
              <w:jc w:val="center"/>
              <w:rPr>
                <w:lang w:val="en-US"/>
              </w:rPr>
            </w:pPr>
            <w:r>
              <w:rPr>
                <w:rFonts w:hint="eastAsia"/>
                <w:lang w:val="en-US"/>
              </w:rPr>
              <w:t>0.00</w:t>
            </w:r>
            <w:bookmarkEnd w:id="37"/>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其他设备</w:t>
            </w:r>
          </w:p>
        </w:tc>
        <w:tc>
          <w:tcPr>
            <w:tcW w:w="1843" w:type="dxa"/>
            <w:vAlign w:val="center"/>
          </w:tcPr>
          <w:p>
            <w:pPr>
              <w:ind w:firstLine="0" w:firstLineChars="0"/>
              <w:jc w:val="center"/>
              <w:rPr>
                <w:lang w:val="en-US"/>
              </w:rPr>
            </w:pPr>
            <w:r>
              <w:rPr>
                <w:rFonts w:hint="eastAsia"/>
                <w:lang w:val="en-US"/>
              </w:rPr>
              <w:t>0.00</w:t>
            </w:r>
            <w:bookmarkEnd w:id="38"/>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合计</w:t>
            </w:r>
          </w:p>
        </w:tc>
        <w:tc>
          <w:tcPr>
            <w:tcW w:w="1843" w:type="dxa"/>
            <w:vAlign w:val="center"/>
          </w:tcPr>
          <w:p>
            <w:pPr>
              <w:ind w:firstLine="0" w:firstLineChars="0"/>
              <w:jc w:val="center"/>
              <w:rPr>
                <w:lang w:val="en-US"/>
              </w:rPr>
            </w:pPr>
            <w:r>
              <w:rPr>
                <w:rFonts w:hint="eastAsia"/>
                <w:lang w:val="en-US"/>
              </w:rPr>
              <w:t>7352.03</w:t>
            </w:r>
            <w:bookmarkEnd w:id="39"/>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bookmarkStart w:id="78" w:name="化石燃料类别"/>
            <w:r>
              <w:rPr>
                <w:rFonts w:hint="eastAsia"/>
                <w:lang w:val="en-US"/>
              </w:rPr>
              <w:t>化石</w:t>
            </w:r>
            <w:r>
              <w:rPr>
                <w:lang w:val="en-US"/>
              </w:rPr>
              <w:t>燃料</w:t>
            </w:r>
            <w:bookmarkEnd w:id="78"/>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1843" w:type="dxa"/>
            <w:shd w:val="clear" w:color="auto" w:fill="D0CECE"/>
            <w:vAlign w:val="center"/>
          </w:tcPr>
          <w:p>
            <w:pPr>
              <w:ind w:firstLine="0" w:firstLineChars="0"/>
              <w:jc w:val="center"/>
              <w:rPr>
                <w:lang w:val="en-US"/>
              </w:rPr>
            </w:pPr>
            <w:r>
              <w:rPr>
                <w:rFonts w:hint="eastAsia"/>
                <w:lang w:val="en-US"/>
              </w:rPr>
              <w:t>消耗量</w:t>
            </w:r>
          </w:p>
        </w:tc>
        <w:tc>
          <w:tcPr>
            <w:tcW w:w="1701" w:type="dxa"/>
            <w:shd w:val="clear" w:color="auto" w:fill="D0CECE"/>
            <w:vAlign w:val="center"/>
          </w:tcPr>
          <w:p>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bookmarkStart w:id="79" w:name="炊事能耗_燃料类型"/>
            <w:r>
              <w:rPr>
                <w:rFonts w:hint="eastAsia"/>
                <w:lang w:val="en-US"/>
              </w:rPr>
              <w:t>燃气</w:t>
            </w:r>
            <w:bookmarkEnd w:id="79"/>
          </w:p>
        </w:tc>
        <w:tc>
          <w:tcPr>
            <w:tcW w:w="2693" w:type="dxa"/>
            <w:shd w:val="clear" w:color="auto" w:fill="FFFFFF"/>
            <w:vAlign w:val="center"/>
          </w:tcPr>
          <w:p>
            <w:pPr>
              <w:ind w:firstLine="0" w:firstLineChars="0"/>
              <w:jc w:val="center"/>
              <w:rPr>
                <w:lang w:val="en-US"/>
              </w:rPr>
            </w:pPr>
            <w:r>
              <w:rPr>
                <w:rFonts w:hint="eastAsia"/>
                <w:lang w:val="en-US"/>
              </w:rPr>
              <w:t>炊事</w:t>
            </w:r>
          </w:p>
        </w:tc>
        <w:tc>
          <w:tcPr>
            <w:tcW w:w="1843" w:type="dxa"/>
            <w:shd w:val="clear" w:color="auto" w:fill="FFFFFF"/>
            <w:vAlign w:val="center"/>
          </w:tcPr>
          <w:p>
            <w:pPr>
              <w:ind w:firstLine="0" w:firstLineChars="0"/>
              <w:jc w:val="center"/>
              <w:rPr>
                <w:lang w:val="en-US"/>
              </w:rPr>
            </w:pPr>
            <w:bookmarkStart w:id="80" w:name="炊事燃气消耗"/>
            <w:r>
              <w:rPr>
                <w:rFonts w:hint="eastAsia"/>
                <w:lang w:val="en-US"/>
              </w:rPr>
              <w:t>0.00</w:t>
            </w:r>
            <w:bookmarkEnd w:id="80"/>
            <w:r>
              <w:rPr>
                <w:lang w:val="en-US"/>
              </w:rPr>
              <w:t>(</w:t>
            </w:r>
            <w:r>
              <w:rPr>
                <w:rFonts w:hint="eastAsia"/>
                <w:lang w:val="en-US"/>
              </w:rPr>
              <w:t>m³/㎡</w:t>
            </w:r>
            <w:r>
              <w:rPr>
                <w:lang w:val="en-US"/>
              </w:rPr>
              <w:t>)</w:t>
            </w:r>
          </w:p>
        </w:tc>
        <w:tc>
          <w:tcPr>
            <w:tcW w:w="1701" w:type="dxa"/>
            <w:shd w:val="clear" w:color="auto" w:fill="FFFFFF"/>
            <w:vAlign w:val="center"/>
          </w:tcPr>
          <w:p>
            <w:pPr>
              <w:ind w:firstLine="0" w:firstLineChars="0"/>
              <w:jc w:val="center"/>
              <w:rPr>
                <w:lang w:val="en-US"/>
              </w:rPr>
            </w:pPr>
            <w:bookmarkStart w:id="81" w:name="炊事能耗_燃料CO2排放因子"/>
            <w:r>
              <w:t>55.54</w:t>
            </w:r>
            <w:bookmarkEnd w:id="81"/>
          </w:p>
        </w:tc>
        <w:tc>
          <w:tcPr>
            <w:tcW w:w="1570" w:type="dxa"/>
            <w:shd w:val="clear" w:color="auto" w:fill="FFFFFF"/>
            <w:vAlign w:val="center"/>
          </w:tcPr>
          <w:p>
            <w:pPr>
              <w:ind w:firstLine="0" w:firstLineChars="0"/>
              <w:jc w:val="center"/>
              <w:rPr>
                <w:lang w:val="en-US"/>
              </w:rPr>
            </w:pPr>
            <w:bookmarkStart w:id="82" w:name="炊事碳排放"/>
            <w:r>
              <w:t>0.000</w:t>
            </w:r>
            <w:bookmarkEnd w:id="8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其他</w:t>
            </w:r>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3544" w:type="dxa"/>
            <w:gridSpan w:val="2"/>
            <w:shd w:val="clear" w:color="auto" w:fill="D0CECE"/>
            <w:vAlign w:val="center"/>
          </w:tcPr>
          <w:p>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r>
              <w:rPr>
                <w:rFonts w:hint="eastAsia"/>
                <w:lang w:val="en-US"/>
              </w:rPr>
              <w:t>制冷剂</w:t>
            </w:r>
          </w:p>
        </w:tc>
        <w:tc>
          <w:tcPr>
            <w:tcW w:w="2693" w:type="dxa"/>
            <w:shd w:val="clear" w:color="auto" w:fill="FFFFFF"/>
            <w:vAlign w:val="center"/>
          </w:tcPr>
          <w:p>
            <w:pPr>
              <w:ind w:firstLine="0" w:firstLineChars="0"/>
              <w:jc w:val="center"/>
              <w:rPr>
                <w:lang w:val="en-US"/>
              </w:rPr>
            </w:pPr>
            <w:r>
              <w:rPr>
                <w:rFonts w:hint="eastAsia"/>
                <w:lang w:val="en-US"/>
              </w:rPr>
              <w:t>供冷</w:t>
            </w:r>
          </w:p>
        </w:tc>
        <w:tc>
          <w:tcPr>
            <w:tcW w:w="3544" w:type="dxa"/>
            <w:gridSpan w:val="2"/>
            <w:shd w:val="clear" w:color="auto" w:fill="FFFFFF"/>
            <w:vAlign w:val="center"/>
          </w:tcPr>
          <w:p>
            <w:pPr>
              <w:ind w:firstLine="0" w:firstLineChars="0"/>
              <w:jc w:val="center"/>
              <w:rPr>
                <w:lang w:val="en-US"/>
              </w:rPr>
            </w:pPr>
            <w:bookmarkStart w:id="83" w:name="制冷剂消耗量"/>
            <w:r>
              <w:t>0</w:t>
            </w:r>
            <w:bookmarkEnd w:id="83"/>
          </w:p>
        </w:tc>
        <w:tc>
          <w:tcPr>
            <w:tcW w:w="1570" w:type="dxa"/>
            <w:shd w:val="clear" w:color="auto" w:fill="FFFFFF"/>
            <w:vAlign w:val="center"/>
          </w:tcPr>
          <w:p>
            <w:pPr>
              <w:ind w:firstLine="0" w:firstLineChars="0"/>
              <w:jc w:val="center"/>
              <w:rPr>
                <w:lang w:val="en-US"/>
              </w:rPr>
            </w:pPr>
            <w:bookmarkStart w:id="84" w:name="制冷剂碳排放"/>
            <w:r>
              <w:t>0.000</w:t>
            </w:r>
            <w:bookmarkEnd w:id="8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可再生</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碳减排量(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pPr>
              <w:ind w:firstLine="0" w:firstLineChars="0"/>
              <w:jc w:val="center"/>
              <w:rPr>
                <w:lang w:val="en-US"/>
              </w:rPr>
            </w:pPr>
            <w:r>
              <w:rPr>
                <w:rFonts w:hint="eastAsia"/>
                <w:lang w:val="en-US"/>
              </w:rPr>
              <w:t>光伏(</w:t>
            </w:r>
            <w:r>
              <w:rPr>
                <w:lang w:val="en-US"/>
              </w:rPr>
              <w:t>Ep)</w:t>
            </w:r>
          </w:p>
        </w:tc>
        <w:tc>
          <w:tcPr>
            <w:tcW w:w="1843" w:type="dxa"/>
            <w:vAlign w:val="center"/>
          </w:tcPr>
          <w:p>
            <w:pPr>
              <w:ind w:firstLine="0" w:firstLineChars="0"/>
              <w:jc w:val="center"/>
              <w:rPr>
                <w:lang w:val="en-US"/>
              </w:rPr>
            </w:pPr>
            <w:bookmarkStart w:id="85" w:name="光伏能耗"/>
            <w:r>
              <w:rPr>
                <w:rFonts w:hint="eastAsia"/>
                <w:lang w:val="en-US"/>
              </w:rPr>
              <w:t>3212.21</w:t>
            </w:r>
            <w:bookmarkEnd w:id="85"/>
          </w:p>
        </w:tc>
        <w:tc>
          <w:tcPr>
            <w:tcW w:w="1701" w:type="dxa"/>
            <w:vMerge w:val="restart"/>
            <w:vAlign w:val="center"/>
          </w:tcPr>
          <w:p>
            <w:pPr>
              <w:ind w:firstLine="0" w:firstLineChars="0"/>
              <w:jc w:val="center"/>
              <w:rPr>
                <w:lang w:val="en-US"/>
              </w:rPr>
            </w:pPr>
            <w:bookmarkStart w:id="86" w:name="电力CO2排放因子7"/>
            <w:r>
              <w:t>0.5703</w:t>
            </w:r>
            <w:bookmarkEnd w:id="86"/>
          </w:p>
        </w:tc>
        <w:tc>
          <w:tcPr>
            <w:tcW w:w="1570" w:type="dxa"/>
          </w:tcPr>
          <w:p>
            <w:pPr>
              <w:ind w:firstLine="0" w:firstLineChars="0"/>
              <w:jc w:val="center"/>
              <w:rPr>
                <w:lang w:val="en-US"/>
              </w:rPr>
            </w:pPr>
            <w:bookmarkStart w:id="87" w:name="光伏能耗_电耗CO2排放"/>
            <w:r>
              <w:t>1511.337</w:t>
            </w:r>
            <w:bookmarkEnd w:id="8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pPr>
              <w:ind w:firstLine="0" w:firstLineChars="0"/>
              <w:jc w:val="center"/>
              <w:rPr>
                <w:lang w:val="en-US"/>
              </w:rPr>
            </w:pPr>
            <w:bookmarkStart w:id="88" w:name="风力能耗"/>
            <w:r>
              <w:rPr>
                <w:rFonts w:hint="eastAsia"/>
                <w:lang w:val="en-US"/>
              </w:rPr>
              <w:t>0.00</w:t>
            </w:r>
            <w:bookmarkEnd w:id="88"/>
          </w:p>
        </w:tc>
        <w:tc>
          <w:tcPr>
            <w:tcW w:w="1701" w:type="dxa"/>
            <w:vMerge w:val="continue"/>
          </w:tcPr>
          <w:p>
            <w:pPr>
              <w:ind w:firstLine="0" w:firstLineChars="0"/>
              <w:jc w:val="center"/>
              <w:rPr>
                <w:lang w:val="en-US"/>
              </w:rPr>
            </w:pPr>
          </w:p>
        </w:tc>
        <w:tc>
          <w:tcPr>
            <w:tcW w:w="1570" w:type="dxa"/>
          </w:tcPr>
          <w:p>
            <w:pPr>
              <w:ind w:firstLine="0" w:firstLineChars="0"/>
              <w:jc w:val="center"/>
              <w:rPr>
                <w:lang w:val="en-US"/>
              </w:rPr>
            </w:pPr>
            <w:bookmarkStart w:id="89" w:name="风力能耗_电耗CO2排放"/>
            <w:r>
              <w:t>0.000</w:t>
            </w:r>
            <w:bookmarkEnd w:id="8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rFonts w:hint="eastAsia"/>
                <w:lang w:val="en-US"/>
              </w:rPr>
            </w:pPr>
            <w:r>
              <w:rPr>
                <w:rFonts w:hint="eastAsia"/>
                <w:lang w:val="en-US"/>
              </w:rPr>
              <w:t>碳汇减碳量</w:t>
            </w:r>
          </w:p>
        </w:tc>
        <w:tc>
          <w:tcPr>
            <w:tcW w:w="1570" w:type="dxa"/>
          </w:tcPr>
          <w:p>
            <w:pPr>
              <w:ind w:firstLine="0" w:firstLineChars="0"/>
              <w:jc w:val="center"/>
              <w:rPr>
                <w:lang w:val="en-US"/>
              </w:rPr>
            </w:pPr>
            <w:bookmarkStart w:id="90" w:name="设计建筑碳汇"/>
            <w:r>
              <w:t>777.774</w:t>
            </w:r>
            <w:bookmarkEnd w:id="9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lang w:val="en-US"/>
              </w:rPr>
            </w:pPr>
            <w:r>
              <w:rPr>
                <w:rFonts w:hint="eastAsia"/>
                <w:lang w:val="en-US"/>
              </w:rPr>
              <w:t>建筑运行碳排放合计</w:t>
            </w:r>
          </w:p>
        </w:tc>
        <w:tc>
          <w:tcPr>
            <w:tcW w:w="1570" w:type="dxa"/>
          </w:tcPr>
          <w:p>
            <w:pPr>
              <w:ind w:firstLine="0" w:firstLineChars="0"/>
              <w:jc w:val="center"/>
              <w:rPr>
                <w:lang w:val="en-US"/>
              </w:rPr>
            </w:pPr>
            <w:bookmarkStart w:id="91" w:name="建筑总碳排放"/>
            <w:r>
              <w:t>2876.085</w:t>
            </w:r>
            <w:bookmarkEnd w:id="91"/>
          </w:p>
        </w:tc>
        <w:bookmarkStart w:id="92" w:name="建筑总碳排放平米"/>
        <w:bookmarkEnd w:id="92"/>
      </w:tr>
    </w:tbl>
    <w:p/>
    <w:p>
      <w:pPr>
        <w:widowControl w:val="0"/>
        <w:jc w:val="both"/>
        <w:rPr>
          <w:color w:val="000000"/>
        </w:rPr>
      </w:pPr>
    </w:p>
    <w:p>
      <w:pPr>
        <w:pStyle w:val="4"/>
        <w:widowControl w:val="0"/>
        <w:jc w:val="both"/>
        <w:rPr>
          <w:color w:val="000000"/>
        </w:rPr>
      </w:pPr>
      <w:bookmarkStart w:id="93" w:name="_Toc23596"/>
      <w:r>
        <w:rPr>
          <w:color w:val="000000"/>
        </w:rPr>
        <w:t>全生命周期碳排放</w:t>
      </w:r>
      <w:bookmarkEnd w:id="93"/>
    </w:p>
    <w:p>
      <w:pPr>
        <w:pStyle w:val="5"/>
        <w:widowControl w:val="0"/>
        <w:jc w:val="both"/>
        <w:rPr>
          <w:color w:val="000000"/>
        </w:rPr>
      </w:pPr>
      <w:bookmarkStart w:id="94" w:name="_Toc16736"/>
      <w:r>
        <w:rPr>
          <w:color w:val="000000"/>
        </w:rPr>
        <w:t>碳排放强度</w:t>
      </w:r>
      <w:bookmarkEnd w:id="9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年均碳排放量kgCO2/(㎡·a)</w:t>
            </w:r>
          </w:p>
        </w:tc>
        <w:tc>
          <w:tcPr>
            <w:shd w:val="clear" w:color="auto" w:fill="E6E6E6"/>
            <w:vAlign w:val="center"/>
          </w:tcPr>
          <w:p>
            <w:pPr>
              <w:jc w:val="center"/>
            </w:pPr>
            <w:r>
              <w:t>50年碳排放量(kgCO2/㎡)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15.67</w:t>
            </w:r>
          </w:p>
        </w:tc>
        <w:tc>
          <w:tcPr>
            <w:vAlign w:val="center"/>
          </w:tcPr>
          <w:p>
            <w:r>
              <w:t>783.43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1.03</w:t>
            </w:r>
          </w:p>
        </w:tc>
        <w:tc>
          <w:tcPr>
            <w:vAlign w:val="center"/>
          </w:tcPr>
          <w:p>
            <w:r>
              <w:t>51.64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0.82</w:t>
            </w:r>
          </w:p>
        </w:tc>
        <w:tc>
          <w:tcPr>
            <w:vAlign w:val="center"/>
          </w:tcPr>
          <w:p>
            <w:r>
              <w:t>41.13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0.08</w:t>
            </w:r>
          </w:p>
        </w:tc>
        <w:tc>
          <w:tcPr>
            <w:vAlign w:val="center"/>
          </w:tcPr>
          <w:p>
            <w:r>
              <w:t>4.11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69.72</w:t>
            </w:r>
          </w:p>
        </w:tc>
        <w:tc>
          <w:tcPr>
            <w:vAlign w:val="center"/>
          </w:tcPr>
          <w:p>
            <w:r>
              <w:t>3486.16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87.32</w:t>
            </w:r>
          </w:p>
        </w:tc>
        <w:tc>
          <w:tcPr>
            <w:vAlign w:val="center"/>
          </w:tcPr>
          <w:p>
            <w:r>
              <w:t>4366.47</w:t>
            </w:r>
          </w:p>
        </w:tc>
      </w:tr>
    </w:tbl>
    <w:p>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pPr>
        <w:pStyle w:val="5"/>
        <w:widowControl w:val="0"/>
        <w:jc w:val="both"/>
        <w:rPr>
          <w:color w:val="000000"/>
        </w:rPr>
      </w:pPr>
      <w:bookmarkStart w:id="95" w:name="_Toc12111"/>
      <w:r>
        <w:rPr>
          <w:color w:val="000000"/>
        </w:rPr>
        <w:t>总碳排放量</w:t>
      </w:r>
      <w:bookmarkEnd w:id="9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年均碳排放量(tCO2/a)</w:t>
            </w:r>
          </w:p>
        </w:tc>
        <w:tc>
          <w:tcPr>
            <w:shd w:val="clear" w:color="auto" w:fill="E6E6E6"/>
            <w:vAlign w:val="center"/>
          </w:tcPr>
          <w:p>
            <w:pPr>
              <w:jc w:val="center"/>
            </w:pPr>
            <w:r>
              <w:t>50年碳排放量(tCO2)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12.927</w:t>
            </w:r>
          </w:p>
        </w:tc>
        <w:tc>
          <w:tcPr>
            <w:vAlign w:val="center"/>
          </w:tcPr>
          <w:p>
            <w:r>
              <w:t>646.326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0.852</w:t>
            </w:r>
          </w:p>
        </w:tc>
        <w:tc>
          <w:tcPr>
            <w:vAlign w:val="center"/>
          </w:tcPr>
          <w:p>
            <w:r>
              <w:t>42.607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0.678</w:t>
            </w:r>
          </w:p>
        </w:tc>
        <w:tc>
          <w:tcPr>
            <w:vAlign w:val="center"/>
          </w:tcPr>
          <w:p>
            <w:r>
              <w:t>33.932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0.068</w:t>
            </w:r>
          </w:p>
        </w:tc>
        <w:tc>
          <w:tcPr>
            <w:vAlign w:val="center"/>
          </w:tcPr>
          <w:p>
            <w:r>
              <w:t>3.393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0.000</w:t>
            </w: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57.522</w:t>
            </w:r>
          </w:p>
        </w:tc>
        <w:tc>
          <w:tcPr>
            <w:vAlign w:val="center"/>
          </w:tcPr>
          <w:p>
            <w:r>
              <w:t>2876.085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72.047</w:t>
            </w:r>
          </w:p>
        </w:tc>
        <w:tc>
          <w:tcPr>
            <w:vAlign w:val="center"/>
          </w:tcPr>
          <w:p>
            <w:r>
              <w:t>3602.343</w:t>
            </w:r>
          </w:p>
        </w:tc>
      </w:tr>
    </w:tbl>
    <w:p>
      <w:pPr>
        <w:widowControl w:val="0"/>
        <w:jc w:val="center"/>
        <w:rPr>
          <w:color w:val="000000"/>
        </w:rPr>
      </w:pPr>
      <w:r>
        <w:drawing>
          <wp:inline distT="0" distB="0" distL="0" distR="0">
            <wp:extent cx="5667375" cy="55721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5572125"/>
                    </a:xfrm>
                    <a:prstGeom prst="rect">
                      <a:avLst/>
                    </a:prstGeom>
                  </pic:spPr>
                </pic:pic>
              </a:graphicData>
            </a:graphic>
          </wp:inline>
        </w:drawing>
      </w:r>
    </w:p>
    <w:p>
      <w:pPr>
        <w:widowControl w:val="0"/>
        <w:jc w:val="center"/>
        <w:rPr>
          <w:color w:val="000000"/>
        </w:rPr>
      </w:pPr>
      <w:r>
        <w:drawing>
          <wp:inline distT="0" distB="0" distL="0" distR="0">
            <wp:extent cx="5667375" cy="55721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5572125"/>
                    </a:xfrm>
                    <a:prstGeom prst="rect">
                      <a:avLst/>
                    </a:prstGeom>
                  </pic:spPr>
                </pic:pic>
              </a:graphicData>
            </a:graphic>
          </wp:inline>
        </w:drawing>
      </w:r>
    </w:p>
    <w:p>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pPr>
        <w:pStyle w:val="2"/>
        <w:widowControl w:val="0"/>
        <w:jc w:val="both"/>
        <w:rPr>
          <w:color w:val="000000"/>
        </w:rPr>
      </w:pPr>
      <w:bookmarkStart w:id="96" w:name="_Toc24270"/>
      <w:r>
        <w:rPr>
          <w:color w:val="000000"/>
        </w:rPr>
        <w:t>附录</w:t>
      </w:r>
      <w:bookmarkEnd w:id="96"/>
    </w:p>
    <w:p>
      <w:pPr>
        <w:pStyle w:val="4"/>
        <w:widowControl w:val="0"/>
        <w:jc w:val="both"/>
        <w:rPr>
          <w:color w:val="000000"/>
        </w:rPr>
      </w:pPr>
      <w:bookmarkStart w:id="97" w:name="_Toc11932"/>
      <w:r>
        <w:rPr>
          <w:color w:val="000000"/>
        </w:rPr>
        <w:t>工作日/节假日人员逐时在室率(%)</w:t>
      </w:r>
      <w:bookmarkEnd w:id="97"/>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widowControl w:val="0"/>
        <w:jc w:val="both"/>
        <w:rPr>
          <w:color w:val="000000"/>
        </w:rPr>
      </w:pPr>
    </w:p>
    <w:p>
      <w:r>
        <w:t>注：上行：工作日；下行：节假日</w:t>
      </w:r>
    </w:p>
    <w:p>
      <w:pPr>
        <w:pStyle w:val="4"/>
      </w:pPr>
      <w:bookmarkStart w:id="98" w:name="_Toc1476"/>
      <w:r>
        <w:t>工作日/节假日照明开关时间表(%)</w:t>
      </w:r>
      <w:bookmarkEnd w:id="98"/>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99" w:name="_Toc18498"/>
      <w:r>
        <w:t>工作日/节假日设备逐时使用率(%)</w:t>
      </w:r>
      <w:bookmarkEnd w:id="99"/>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00" w:name="_Toc5589"/>
      <w:r>
        <w:t>工作日/节假日空调系统运行时间表(1:开,0:关)</w:t>
      </w:r>
      <w:bookmarkEnd w:id="100"/>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01" w:name="_Toc26407"/>
      <w:r>
        <w:t>工作日/节假日新风运行时间表(%)</w:t>
      </w:r>
      <w:bookmarkEnd w:id="101"/>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bookmarkEnd w:id="0"/>
    </w:tbl>
    <w:p/>
    <w:p>
      <w:r>
        <w:t>注：上行：工作日；下行：节假日</w:t>
      </w:r>
    </w:p>
    <w:p/>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3F116C"/>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513F116C"/>
    <w:rsid w:val="6A454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043;&#26592;\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Pages>21</Pages>
  <Words>5747</Words>
  <Characters>9256</Characters>
  <Lines>24</Lines>
  <Paragraphs>7</Paragraphs>
  <TotalTime>0</TotalTime>
  <ScaleCrop>false</ScaleCrop>
  <LinksUpToDate>false</LinksUpToDate>
  <CharactersWithSpaces>9403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2025-12-20T15:58:00Z</dcterms:created>
  <dc:creator>树叶世界</dc:creator>
  <cp:lastModifiedBy>树叶世界</cp:lastModifiedBy>
  <dcterms:modified xsi:type="dcterms:W3CDTF">2025-12-30T11:32:46Z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