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体验1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b/>
                <w:sz w:val="32"/>
                <w:szCs w:val="52"/>
              </w:rPr>
              <w:t>BKA80084</w:t>
            </w:r>
            <w:bookmarkStart w:id="105" w:name="_GoBack"/>
            <w:bookmarkEnd w:id="105"/>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T18859020996</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_Toc21089 </w:instrText>
      </w:r>
      <w:r>
        <w:rPr>
          <w:rFonts w:ascii="宋体" w:hAnsi="宋体"/>
          <w:bCs w:val="0"/>
          <w:caps/>
        </w:rPr>
        <w:fldChar w:fldCharType="separate"/>
      </w:r>
      <w:r>
        <w:rPr>
          <w:rFonts w:hint="eastAsia"/>
        </w:rPr>
        <w:t>1 建筑概况</w:t>
      </w:r>
      <w:r>
        <w:tab/>
      </w:r>
      <w:r>
        <w:fldChar w:fldCharType="begin"/>
      </w:r>
      <w:r>
        <w:instrText xml:space="preserve"> PAGEREF _Toc21089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_Toc3620 </w:instrText>
      </w:r>
      <w:r>
        <w:fldChar w:fldCharType="separate"/>
      </w:r>
      <w:r>
        <w:rPr>
          <w:rFonts w:hint="eastAsia"/>
        </w:rPr>
        <w:t>2 标准依据</w:t>
      </w:r>
      <w:r>
        <w:tab/>
      </w:r>
      <w:r>
        <w:fldChar w:fldCharType="begin"/>
      </w:r>
      <w:r>
        <w:instrText xml:space="preserve"> PAGEREF _Toc3620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_Toc7798 </w:instrText>
      </w:r>
      <w:r>
        <w:fldChar w:fldCharType="separate"/>
      </w:r>
      <w:r>
        <w:rPr>
          <w:rFonts w:hint="eastAsia"/>
        </w:rPr>
        <w:t>3 软件介绍</w:t>
      </w:r>
      <w:r>
        <w:tab/>
      </w:r>
      <w:r>
        <w:fldChar w:fldCharType="begin"/>
      </w:r>
      <w:r>
        <w:instrText xml:space="preserve"> PAGEREF _Toc7798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_Toc26144 </w:instrText>
      </w:r>
      <w:r>
        <w:fldChar w:fldCharType="separate"/>
      </w:r>
      <w:r>
        <w:rPr>
          <w:rFonts w:hint="eastAsia"/>
        </w:rPr>
        <w:t>4 气象数据</w:t>
      </w:r>
      <w:r>
        <w:tab/>
      </w:r>
      <w:r>
        <w:fldChar w:fldCharType="begin"/>
      </w:r>
      <w:r>
        <w:instrText xml:space="preserve"> PAGEREF _Toc26144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_Toc6893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_Toc6893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_Toc14358 </w:instrText>
      </w:r>
      <w:r>
        <w:fldChar w:fldCharType="separate"/>
      </w:r>
      <w:r>
        <w:rPr>
          <w:rFonts w:hint="eastAsia"/>
          <w:lang w:val="en-GB"/>
        </w:rPr>
        <w:t xml:space="preserve">4.2 </w:t>
      </w:r>
      <w:r>
        <w:rPr>
          <w:rFonts w:hint="eastAsia"/>
        </w:rPr>
        <w:t>逐月辐照量表</w:t>
      </w:r>
      <w:r>
        <w:tab/>
      </w:r>
      <w:r>
        <w:fldChar w:fldCharType="begin"/>
      </w:r>
      <w:r>
        <w:instrText xml:space="preserve"> PAGEREF _Toc14358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_Toc20766 </w:instrText>
      </w:r>
      <w:r>
        <w:fldChar w:fldCharType="separate"/>
      </w:r>
      <w:r>
        <w:rPr>
          <w:rFonts w:hint="eastAsia"/>
          <w:lang w:val="en-GB"/>
        </w:rPr>
        <w:t xml:space="preserve">4.3 </w:t>
      </w:r>
      <w:r>
        <w:rPr>
          <w:rFonts w:hint="eastAsia"/>
        </w:rPr>
        <w:t>峰值工况</w:t>
      </w:r>
      <w:r>
        <w:tab/>
      </w:r>
      <w:r>
        <w:fldChar w:fldCharType="begin"/>
      </w:r>
      <w:r>
        <w:instrText xml:space="preserve"> PAGEREF _Toc20766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_Toc2799 </w:instrText>
      </w:r>
      <w:r>
        <w:fldChar w:fldCharType="separate"/>
      </w:r>
      <w:r>
        <w:rPr>
          <w:rFonts w:hint="eastAsia"/>
        </w:rPr>
        <w:t xml:space="preserve">5 </w:t>
      </w:r>
      <w:r>
        <w:t>建筑大样</w:t>
      </w:r>
      <w:r>
        <w:tab/>
      </w:r>
      <w:r>
        <w:fldChar w:fldCharType="begin"/>
      </w:r>
      <w:r>
        <w:instrText xml:space="preserve"> PAGEREF _Toc2799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_Toc2933 </w:instrText>
      </w:r>
      <w:r>
        <w:fldChar w:fldCharType="separate"/>
      </w:r>
      <w:r>
        <w:rPr>
          <w:rFonts w:hint="eastAsia"/>
        </w:rPr>
        <w:t xml:space="preserve">6 </w:t>
      </w:r>
      <w:r>
        <w:t>围护结构</w:t>
      </w:r>
      <w:r>
        <w:tab/>
      </w:r>
      <w:r>
        <w:fldChar w:fldCharType="begin"/>
      </w:r>
      <w:r>
        <w:instrText xml:space="preserve"> PAGEREF _Toc2933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_Toc2534 </w:instrText>
      </w:r>
      <w:r>
        <w:fldChar w:fldCharType="separate"/>
      </w:r>
      <w:r>
        <w:rPr>
          <w:rFonts w:hint="eastAsia"/>
          <w:lang w:val="en-GB"/>
        </w:rPr>
        <w:t xml:space="preserve">6.1 </w:t>
      </w:r>
      <w:r>
        <w:t>工程材料</w:t>
      </w:r>
      <w:r>
        <w:tab/>
      </w:r>
      <w:r>
        <w:fldChar w:fldCharType="begin"/>
      </w:r>
      <w:r>
        <w:instrText xml:space="preserve"> PAGEREF _Toc2534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_Toc12473 </w:instrText>
      </w:r>
      <w:r>
        <w:fldChar w:fldCharType="separate"/>
      </w:r>
      <w:r>
        <w:rPr>
          <w:rFonts w:hint="eastAsia"/>
          <w:lang w:val="en-GB"/>
        </w:rPr>
        <w:t xml:space="preserve">6.2 </w:t>
      </w:r>
      <w:r>
        <w:t>围护结构作法简要说明</w:t>
      </w:r>
      <w:r>
        <w:tab/>
      </w:r>
      <w:r>
        <w:fldChar w:fldCharType="begin"/>
      </w:r>
      <w:r>
        <w:instrText xml:space="preserve"> PAGEREF _Toc12473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_Toc12091 </w:instrText>
      </w:r>
      <w:r>
        <w:fldChar w:fldCharType="separate"/>
      </w:r>
      <w:r>
        <w:rPr>
          <w:rFonts w:hint="eastAsia"/>
        </w:rPr>
        <w:t xml:space="preserve">7 </w:t>
      </w:r>
      <w:r>
        <w:t>围护结构概况</w:t>
      </w:r>
      <w:r>
        <w:tab/>
      </w:r>
      <w:r>
        <w:fldChar w:fldCharType="begin"/>
      </w:r>
      <w:r>
        <w:instrText xml:space="preserve"> PAGEREF _Toc12091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_Toc3704 </w:instrText>
      </w:r>
      <w:r>
        <w:fldChar w:fldCharType="separate"/>
      </w:r>
      <w:r>
        <w:rPr>
          <w:rFonts w:hint="eastAsia"/>
        </w:rPr>
        <w:t xml:space="preserve">8 </w:t>
      </w:r>
      <w:r>
        <w:t>房间类型</w:t>
      </w:r>
      <w:r>
        <w:tab/>
      </w:r>
      <w:r>
        <w:fldChar w:fldCharType="begin"/>
      </w:r>
      <w:r>
        <w:instrText xml:space="preserve"> PAGEREF _Toc3704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_Toc1380 </w:instrText>
      </w:r>
      <w:r>
        <w:fldChar w:fldCharType="separate"/>
      </w:r>
      <w:r>
        <w:rPr>
          <w:rFonts w:hint="eastAsia"/>
          <w:lang w:val="en-GB"/>
        </w:rPr>
        <w:t xml:space="preserve">8.1 </w:t>
      </w:r>
      <w:r>
        <w:t>房间参数表</w:t>
      </w:r>
      <w:r>
        <w:tab/>
      </w:r>
      <w:r>
        <w:fldChar w:fldCharType="begin"/>
      </w:r>
      <w:r>
        <w:instrText xml:space="preserve"> PAGEREF _Toc1380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_Toc13288 </w:instrText>
      </w:r>
      <w:r>
        <w:fldChar w:fldCharType="separate"/>
      </w:r>
      <w:r>
        <w:rPr>
          <w:rFonts w:hint="eastAsia"/>
          <w:lang w:val="en-GB"/>
        </w:rPr>
        <w:t xml:space="preserve">8.2 </w:t>
      </w:r>
      <w:r>
        <w:t>作息时间表</w:t>
      </w:r>
      <w:r>
        <w:tab/>
      </w:r>
      <w:r>
        <w:fldChar w:fldCharType="begin"/>
      </w:r>
      <w:r>
        <w:instrText xml:space="preserve"> PAGEREF _Toc13288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_Toc15091 </w:instrText>
      </w:r>
      <w:r>
        <w:fldChar w:fldCharType="separate"/>
      </w:r>
      <w:r>
        <w:rPr>
          <w:rFonts w:hint="eastAsia"/>
        </w:rPr>
        <w:t xml:space="preserve">9 </w:t>
      </w:r>
      <w:r>
        <w:t>系统类型</w:t>
      </w:r>
      <w:r>
        <w:tab/>
      </w:r>
      <w:r>
        <w:fldChar w:fldCharType="begin"/>
      </w:r>
      <w:r>
        <w:instrText xml:space="preserve"> PAGEREF _Toc15091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_Toc18621 </w:instrText>
      </w:r>
      <w:r>
        <w:fldChar w:fldCharType="separate"/>
      </w:r>
      <w:r>
        <w:rPr>
          <w:rFonts w:hint="eastAsia"/>
          <w:lang w:val="en-GB"/>
        </w:rPr>
        <w:t xml:space="preserve">9.1 </w:t>
      </w:r>
      <w:r>
        <w:t>系统分区</w:t>
      </w:r>
      <w:r>
        <w:tab/>
      </w:r>
      <w:r>
        <w:fldChar w:fldCharType="begin"/>
      </w:r>
      <w:r>
        <w:instrText xml:space="preserve"> PAGEREF _Toc18621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_Toc26252 </w:instrText>
      </w:r>
      <w:r>
        <w:fldChar w:fldCharType="separate"/>
      </w:r>
      <w:r>
        <w:rPr>
          <w:rFonts w:hint="eastAsia"/>
          <w:lang w:val="en-GB"/>
        </w:rPr>
        <w:t xml:space="preserve">9.2 </w:t>
      </w:r>
      <w:r>
        <w:t>热回收参数</w:t>
      </w:r>
      <w:r>
        <w:tab/>
      </w:r>
      <w:r>
        <w:fldChar w:fldCharType="begin"/>
      </w:r>
      <w:r>
        <w:instrText xml:space="preserve"> PAGEREF _Toc26252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_Toc26565 </w:instrText>
      </w:r>
      <w:r>
        <w:fldChar w:fldCharType="separate"/>
      </w:r>
      <w:r>
        <w:rPr>
          <w:rFonts w:hint="eastAsia"/>
        </w:rPr>
        <w:t xml:space="preserve">10 </w:t>
      </w:r>
      <w:r>
        <w:t>制冷系统</w:t>
      </w:r>
      <w:r>
        <w:tab/>
      </w:r>
      <w:r>
        <w:fldChar w:fldCharType="begin"/>
      </w:r>
      <w:r>
        <w:instrText xml:space="preserve"> PAGEREF _Toc26565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_Toc924 </w:instrText>
      </w:r>
      <w:r>
        <w:fldChar w:fldCharType="separate"/>
      </w:r>
      <w:r>
        <w:rPr>
          <w:rFonts w:hint="eastAsia"/>
          <w:lang w:val="en-GB"/>
        </w:rPr>
        <w:t xml:space="preserve">10.1 </w:t>
      </w:r>
      <w:r>
        <w:t>多联机/单元式空调能耗</w:t>
      </w:r>
      <w:r>
        <w:tab/>
      </w:r>
      <w:r>
        <w:fldChar w:fldCharType="begin"/>
      </w:r>
      <w:r>
        <w:instrText xml:space="preserve"> PAGEREF _Toc924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_Toc838 </w:instrText>
      </w:r>
      <w:r>
        <w:fldChar w:fldCharType="separate"/>
      </w:r>
      <w:r>
        <w:rPr>
          <w:rFonts w:hint="eastAsia"/>
        </w:rPr>
        <w:t xml:space="preserve">11 </w:t>
      </w:r>
      <w:r>
        <w:t>空调风机</w:t>
      </w:r>
      <w:r>
        <w:tab/>
      </w:r>
      <w:r>
        <w:fldChar w:fldCharType="begin"/>
      </w:r>
      <w:r>
        <w:instrText xml:space="preserve"> PAGEREF _Toc838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_Toc13741 </w:instrText>
      </w:r>
      <w:r>
        <w:fldChar w:fldCharType="separate"/>
      </w:r>
      <w:r>
        <w:rPr>
          <w:rFonts w:hint="eastAsia"/>
        </w:rPr>
        <w:t xml:space="preserve">12 </w:t>
      </w:r>
      <w:r>
        <w:t>照明</w:t>
      </w:r>
      <w:r>
        <w:tab/>
      </w:r>
      <w:r>
        <w:fldChar w:fldCharType="begin"/>
      </w:r>
      <w:r>
        <w:instrText xml:space="preserve"> PAGEREF _Toc13741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_Toc18804 </w:instrText>
      </w:r>
      <w:r>
        <w:fldChar w:fldCharType="separate"/>
      </w:r>
      <w:r>
        <w:rPr>
          <w:rFonts w:hint="eastAsia"/>
        </w:rPr>
        <w:t xml:space="preserve">13 </w:t>
      </w:r>
      <w:r>
        <w:t>插座设备</w:t>
      </w:r>
      <w:r>
        <w:tab/>
      </w:r>
      <w:r>
        <w:fldChar w:fldCharType="begin"/>
      </w:r>
      <w:r>
        <w:instrText xml:space="preserve"> PAGEREF _Toc18804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_Toc3989 </w:instrText>
      </w:r>
      <w:r>
        <w:fldChar w:fldCharType="separate"/>
      </w:r>
      <w:r>
        <w:rPr>
          <w:rFonts w:hint="eastAsia"/>
        </w:rPr>
        <w:t xml:space="preserve">14 </w:t>
      </w:r>
      <w:r>
        <w:t>排风机</w:t>
      </w:r>
      <w:r>
        <w:tab/>
      </w:r>
      <w:r>
        <w:fldChar w:fldCharType="begin"/>
      </w:r>
      <w:r>
        <w:instrText xml:space="preserve"> PAGEREF _Toc3989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_Toc29056 </w:instrText>
      </w:r>
      <w:r>
        <w:fldChar w:fldCharType="separate"/>
      </w:r>
      <w:r>
        <w:rPr>
          <w:rFonts w:hint="eastAsia"/>
        </w:rPr>
        <w:t xml:space="preserve">15 </w:t>
      </w:r>
      <w:r>
        <w:t>生活热水</w:t>
      </w:r>
      <w:r>
        <w:tab/>
      </w:r>
      <w:r>
        <w:fldChar w:fldCharType="begin"/>
      </w:r>
      <w:r>
        <w:instrText xml:space="preserve"> PAGEREF _Toc29056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_Toc17611 </w:instrText>
      </w:r>
      <w:r>
        <w:fldChar w:fldCharType="separate"/>
      </w:r>
      <w:r>
        <w:rPr>
          <w:rFonts w:hint="eastAsia"/>
          <w:lang w:val="en-GB"/>
        </w:rPr>
        <w:t xml:space="preserve">15.1 </w:t>
      </w:r>
      <w:r>
        <w:t>热水需求</w:t>
      </w:r>
      <w:r>
        <w:tab/>
      </w:r>
      <w:r>
        <w:fldChar w:fldCharType="begin"/>
      </w:r>
      <w:r>
        <w:instrText xml:space="preserve"> PAGEREF _Toc17611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_Toc24060 </w:instrText>
      </w:r>
      <w:r>
        <w:fldChar w:fldCharType="separate"/>
      </w:r>
      <w:r>
        <w:rPr>
          <w:rFonts w:hint="eastAsia"/>
          <w:lang w:val="en-GB"/>
        </w:rPr>
        <w:t xml:space="preserve">15.2 </w:t>
      </w:r>
      <w:r>
        <w:t>太阳能集热</w:t>
      </w:r>
      <w:r>
        <w:tab/>
      </w:r>
      <w:r>
        <w:fldChar w:fldCharType="begin"/>
      </w:r>
      <w:r>
        <w:instrText xml:space="preserve"> PAGEREF _Toc24060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_Toc7840 </w:instrText>
      </w:r>
      <w:r>
        <w:fldChar w:fldCharType="separate"/>
      </w:r>
      <w:r>
        <w:rPr>
          <w:rFonts w:hint="eastAsia"/>
          <w:lang w:val="en-GB"/>
        </w:rPr>
        <w:t xml:space="preserve">15.3 </w:t>
      </w:r>
      <w:r>
        <w:t>热水设备</w:t>
      </w:r>
      <w:r>
        <w:tab/>
      </w:r>
      <w:r>
        <w:fldChar w:fldCharType="begin"/>
      </w:r>
      <w:r>
        <w:instrText xml:space="preserve"> PAGEREF _Toc7840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_Toc10172 </w:instrText>
      </w:r>
      <w:r>
        <w:fldChar w:fldCharType="separate"/>
      </w:r>
      <w:r>
        <w:rPr>
          <w:rFonts w:hint="eastAsia"/>
        </w:rPr>
        <w:t xml:space="preserve">16 </w:t>
      </w:r>
      <w:r>
        <w:t>电梯</w:t>
      </w:r>
      <w:r>
        <w:tab/>
      </w:r>
      <w:r>
        <w:fldChar w:fldCharType="begin"/>
      </w:r>
      <w:r>
        <w:instrText xml:space="preserve"> PAGEREF _Toc10172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_Toc7233 </w:instrText>
      </w:r>
      <w:r>
        <w:fldChar w:fldCharType="separate"/>
      </w:r>
      <w:r>
        <w:rPr>
          <w:rFonts w:hint="eastAsia"/>
          <w:lang w:val="en-GB"/>
        </w:rPr>
        <w:t xml:space="preserve">16.1 </w:t>
      </w:r>
      <w:r>
        <w:t>直梯</w:t>
      </w:r>
      <w:r>
        <w:tab/>
      </w:r>
      <w:r>
        <w:fldChar w:fldCharType="begin"/>
      </w:r>
      <w:r>
        <w:instrText xml:space="preserve"> PAGEREF _Toc7233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_Toc31829 </w:instrText>
      </w:r>
      <w:r>
        <w:fldChar w:fldCharType="separate"/>
      </w:r>
      <w:r>
        <w:rPr>
          <w:rFonts w:hint="eastAsia"/>
          <w:lang w:val="en-GB"/>
        </w:rPr>
        <w:t xml:space="preserve">16.2 </w:t>
      </w:r>
      <w:r>
        <w:t>电梯碳排放</w:t>
      </w:r>
      <w:r>
        <w:tab/>
      </w:r>
      <w:r>
        <w:fldChar w:fldCharType="begin"/>
      </w:r>
      <w:r>
        <w:instrText xml:space="preserve"> PAGEREF _Toc31829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_Toc7070 </w:instrText>
      </w:r>
      <w:r>
        <w:fldChar w:fldCharType="separate"/>
      </w:r>
      <w:r>
        <w:rPr>
          <w:rFonts w:hint="eastAsia"/>
        </w:rPr>
        <w:t xml:space="preserve">17 </w:t>
      </w:r>
      <w:r>
        <w:t>光伏发电</w:t>
      </w:r>
      <w:r>
        <w:tab/>
      </w:r>
      <w:r>
        <w:fldChar w:fldCharType="begin"/>
      </w:r>
      <w:r>
        <w:instrText xml:space="preserve"> PAGEREF _Toc7070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_Toc21986 </w:instrText>
      </w:r>
      <w:r>
        <w:fldChar w:fldCharType="separate"/>
      </w:r>
      <w:r>
        <w:rPr>
          <w:rFonts w:hint="eastAsia"/>
        </w:rPr>
        <w:t xml:space="preserve">18 </w:t>
      </w:r>
      <w:r>
        <w:t>计算结果</w:t>
      </w:r>
      <w:r>
        <w:tab/>
      </w:r>
      <w:r>
        <w:fldChar w:fldCharType="begin"/>
      </w:r>
      <w:r>
        <w:instrText xml:space="preserve"> PAGEREF _Toc21986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_Toc6826 </w:instrText>
      </w:r>
      <w:r>
        <w:fldChar w:fldCharType="separate"/>
      </w:r>
      <w:r>
        <w:rPr>
          <w:rFonts w:hint="eastAsia"/>
          <w:lang w:val="en-GB"/>
        </w:rPr>
        <w:t xml:space="preserve">18.1 </w:t>
      </w:r>
      <w:r>
        <w:t>建材生产运输碳排放</w:t>
      </w:r>
      <w:r>
        <w:tab/>
      </w:r>
      <w:r>
        <w:fldChar w:fldCharType="begin"/>
      </w:r>
      <w:r>
        <w:instrText xml:space="preserve"> PAGEREF _Toc6826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_Toc32195 </w:instrText>
      </w:r>
      <w:r>
        <w:fldChar w:fldCharType="separate"/>
      </w:r>
      <w:r>
        <w:rPr>
          <w:rFonts w:hint="eastAsia" w:eastAsia="宋体"/>
          <w:szCs w:val="24"/>
          <w:lang w:val="en-GB"/>
        </w:rPr>
        <w:t xml:space="preserve">18.1.1 </w:t>
      </w:r>
      <w:r>
        <w:t>建材生产阶段</w:t>
      </w:r>
      <w:r>
        <w:tab/>
      </w:r>
      <w:r>
        <w:fldChar w:fldCharType="begin"/>
      </w:r>
      <w:r>
        <w:instrText xml:space="preserve"> PAGEREF _Toc32195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_Toc23450 </w:instrText>
      </w:r>
      <w:r>
        <w:fldChar w:fldCharType="separate"/>
      </w:r>
      <w:r>
        <w:rPr>
          <w:rFonts w:hint="eastAsia" w:eastAsia="宋体"/>
          <w:szCs w:val="24"/>
          <w:lang w:val="en-GB"/>
        </w:rPr>
        <w:t xml:space="preserve">18.1.2 </w:t>
      </w:r>
      <w:r>
        <w:t>建材运输阶段</w:t>
      </w:r>
      <w:r>
        <w:tab/>
      </w:r>
      <w:r>
        <w:fldChar w:fldCharType="begin"/>
      </w:r>
      <w:r>
        <w:instrText xml:space="preserve"> PAGEREF _Toc23450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_Toc6756 </w:instrText>
      </w:r>
      <w:r>
        <w:fldChar w:fldCharType="separate"/>
      </w:r>
      <w:r>
        <w:rPr>
          <w:rFonts w:hint="eastAsia"/>
          <w:lang w:val="en-GB"/>
        </w:rPr>
        <w:t xml:space="preserve">18.2 </w:t>
      </w:r>
      <w:r>
        <w:t>建筑建造拆除碳排放</w:t>
      </w:r>
      <w:r>
        <w:tab/>
      </w:r>
      <w:r>
        <w:fldChar w:fldCharType="begin"/>
      </w:r>
      <w:r>
        <w:instrText xml:space="preserve"> PAGEREF _Toc6756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_Toc19458 </w:instrText>
      </w:r>
      <w:r>
        <w:fldChar w:fldCharType="separate"/>
      </w:r>
      <w:r>
        <w:rPr>
          <w:rFonts w:hint="eastAsia" w:eastAsia="宋体"/>
          <w:szCs w:val="24"/>
          <w:lang w:val="en-GB"/>
        </w:rPr>
        <w:t xml:space="preserve">18.2.1 </w:t>
      </w:r>
      <w:r>
        <w:t>建筑建造</w:t>
      </w:r>
      <w:r>
        <w:tab/>
      </w:r>
      <w:r>
        <w:fldChar w:fldCharType="begin"/>
      </w:r>
      <w:r>
        <w:instrText xml:space="preserve"> PAGEREF _Toc19458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_Toc18530 </w:instrText>
      </w:r>
      <w:r>
        <w:fldChar w:fldCharType="separate"/>
      </w:r>
      <w:r>
        <w:rPr>
          <w:rFonts w:hint="eastAsia" w:eastAsia="宋体"/>
          <w:szCs w:val="24"/>
          <w:lang w:val="en-GB"/>
        </w:rPr>
        <w:t xml:space="preserve">18.2.2 </w:t>
      </w:r>
      <w:r>
        <w:t>建筑拆除</w:t>
      </w:r>
      <w:r>
        <w:tab/>
      </w:r>
      <w:r>
        <w:fldChar w:fldCharType="begin"/>
      </w:r>
      <w:r>
        <w:instrText xml:space="preserve"> PAGEREF _Toc18530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_Toc19977 </w:instrText>
      </w:r>
      <w:r>
        <w:fldChar w:fldCharType="separate"/>
      </w:r>
      <w:r>
        <w:rPr>
          <w:rFonts w:hint="eastAsia"/>
          <w:lang w:val="en-GB"/>
        </w:rPr>
        <w:t xml:space="preserve">18.3 </w:t>
      </w:r>
      <w:r>
        <w:t>碳汇</w:t>
      </w:r>
      <w:r>
        <w:tab/>
      </w:r>
      <w:r>
        <w:fldChar w:fldCharType="begin"/>
      </w:r>
      <w:r>
        <w:instrText xml:space="preserve"> PAGEREF _Toc19977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_Toc370 </w:instrText>
      </w:r>
      <w:r>
        <w:fldChar w:fldCharType="separate"/>
      </w:r>
      <w:r>
        <w:rPr>
          <w:rFonts w:hint="eastAsia"/>
          <w:lang w:val="en-GB"/>
        </w:rPr>
        <w:t xml:space="preserve">18.4 </w:t>
      </w:r>
      <w:r>
        <w:t>建筑运行碳排放</w:t>
      </w:r>
      <w:r>
        <w:tab/>
      </w:r>
      <w:r>
        <w:fldChar w:fldCharType="begin"/>
      </w:r>
      <w:r>
        <w:instrText xml:space="preserve"> PAGEREF _Toc370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_Toc15369 </w:instrText>
      </w:r>
      <w:r>
        <w:fldChar w:fldCharType="separate"/>
      </w:r>
      <w:r>
        <w:rPr>
          <w:rFonts w:hint="eastAsia"/>
          <w:lang w:val="en-GB"/>
        </w:rPr>
        <w:t xml:space="preserve">18.5 </w:t>
      </w:r>
      <w:r>
        <w:t>全生命周期碳排放</w:t>
      </w:r>
      <w:r>
        <w:tab/>
      </w:r>
      <w:r>
        <w:fldChar w:fldCharType="begin"/>
      </w:r>
      <w:r>
        <w:instrText xml:space="preserve"> PAGEREF _Toc15369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_Toc26625 </w:instrText>
      </w:r>
      <w:r>
        <w:fldChar w:fldCharType="separate"/>
      </w:r>
      <w:r>
        <w:rPr>
          <w:rFonts w:hint="eastAsia" w:eastAsia="宋体"/>
          <w:szCs w:val="24"/>
          <w:lang w:val="en-GB"/>
        </w:rPr>
        <w:t xml:space="preserve">18.5.1 </w:t>
      </w:r>
      <w:r>
        <w:t>碳排放强度</w:t>
      </w:r>
      <w:r>
        <w:tab/>
      </w:r>
      <w:r>
        <w:fldChar w:fldCharType="begin"/>
      </w:r>
      <w:r>
        <w:instrText xml:space="preserve"> PAGEREF _Toc26625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_Toc592 </w:instrText>
      </w:r>
      <w:r>
        <w:fldChar w:fldCharType="separate"/>
      </w:r>
      <w:r>
        <w:rPr>
          <w:rFonts w:hint="eastAsia" w:eastAsia="宋体"/>
          <w:szCs w:val="24"/>
          <w:lang w:val="en-GB"/>
        </w:rPr>
        <w:t xml:space="preserve">18.5.2 </w:t>
      </w:r>
      <w:r>
        <w:t>总碳排放量</w:t>
      </w:r>
      <w:r>
        <w:tab/>
      </w:r>
      <w:r>
        <w:fldChar w:fldCharType="begin"/>
      </w:r>
      <w:r>
        <w:instrText xml:space="preserve"> PAGEREF _Toc592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_Toc1133 </w:instrText>
      </w:r>
      <w:r>
        <w:fldChar w:fldCharType="separate"/>
      </w:r>
      <w:r>
        <w:rPr>
          <w:rFonts w:hint="eastAsia"/>
        </w:rPr>
        <w:t xml:space="preserve">19 </w:t>
      </w:r>
      <w:r>
        <w:t>附录</w:t>
      </w:r>
      <w:r>
        <w:tab/>
      </w:r>
      <w:r>
        <w:fldChar w:fldCharType="begin"/>
      </w:r>
      <w:r>
        <w:instrText xml:space="preserve"> PAGEREF _Toc1133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_Toc18408 </w:instrText>
      </w:r>
      <w:r>
        <w:fldChar w:fldCharType="separate"/>
      </w:r>
      <w:r>
        <w:rPr>
          <w:rFonts w:hint="eastAsia"/>
          <w:lang w:val="en-GB"/>
        </w:rPr>
        <w:t xml:space="preserve">19.1 </w:t>
      </w:r>
      <w:r>
        <w:t>工作日/节假日人员逐时在室率(%)</w:t>
      </w:r>
      <w:r>
        <w:tab/>
      </w:r>
      <w:r>
        <w:fldChar w:fldCharType="begin"/>
      </w:r>
      <w:r>
        <w:instrText xml:space="preserve"> PAGEREF _Toc18408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_Toc10547 </w:instrText>
      </w:r>
      <w:r>
        <w:fldChar w:fldCharType="separate"/>
      </w:r>
      <w:r>
        <w:rPr>
          <w:rFonts w:hint="eastAsia"/>
          <w:lang w:val="en-GB"/>
        </w:rPr>
        <w:t xml:space="preserve">19.2 </w:t>
      </w:r>
      <w:r>
        <w:t>工作日/节假日照明开关时间表(%)</w:t>
      </w:r>
      <w:r>
        <w:tab/>
      </w:r>
      <w:r>
        <w:fldChar w:fldCharType="begin"/>
      </w:r>
      <w:r>
        <w:instrText xml:space="preserve"> PAGEREF _Toc10547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_Toc9863 </w:instrText>
      </w:r>
      <w:r>
        <w:fldChar w:fldCharType="separate"/>
      </w:r>
      <w:r>
        <w:rPr>
          <w:rFonts w:hint="eastAsia"/>
          <w:lang w:val="en-GB"/>
        </w:rPr>
        <w:t xml:space="preserve">19.3 </w:t>
      </w:r>
      <w:r>
        <w:t>工作日/节假日设备逐时使用率(%)</w:t>
      </w:r>
      <w:r>
        <w:tab/>
      </w:r>
      <w:r>
        <w:fldChar w:fldCharType="begin"/>
      </w:r>
      <w:r>
        <w:instrText xml:space="preserve"> PAGEREF _Toc9863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_Toc7581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_Toc7581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_Toc13079 </w:instrText>
      </w:r>
      <w:r>
        <w:fldChar w:fldCharType="separate"/>
      </w:r>
      <w:r>
        <w:rPr>
          <w:rFonts w:hint="eastAsia"/>
          <w:lang w:val="en-GB"/>
        </w:rPr>
        <w:t xml:space="preserve">19.5 </w:t>
      </w:r>
      <w:r>
        <w:t>工作日/节假日新风运行时间表(%)</w:t>
      </w:r>
      <w:r>
        <w:tab/>
      </w:r>
      <w:r>
        <w:fldChar w:fldCharType="begin"/>
      </w:r>
      <w:r>
        <w:instrText xml:space="preserve"> PAGEREF _Toc13079 </w:instrText>
      </w:r>
      <w:r>
        <w:fldChar w:fldCharType="separate"/>
      </w:r>
      <w:r>
        <w:t>21</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21089"/>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体验1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540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7.5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2970.37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781.50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149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3620"/>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7798"/>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26144"/>
      <w:r>
        <w:rPr>
          <w:rFonts w:hint="eastAsia"/>
        </w:rPr>
        <w:t>气象数据</w:t>
      </w:r>
      <w:bookmarkEnd w:id="40"/>
    </w:p>
    <w:p>
      <w:pPr>
        <w:pStyle w:val="4"/>
      </w:pPr>
      <w:bookmarkStart w:id="41" w:name="_Toc6893"/>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14358"/>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20766"/>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46" w:name="气象峰值工况"/>
      <w:bookmarkEnd w:id="46"/>
      <w:bookmarkStart w:id="47" w:name="_Toc2799"/>
      <w:r>
        <w:t>建筑大样</w:t>
      </w:r>
      <w:bookmarkEnd w:id="47"/>
    </w:p>
    <w:p>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pPr>
        <w:widowControl w:val="0"/>
        <w:jc w:val="center"/>
      </w:pPr>
      <w:r>
        <w:t>后视图</w:t>
      </w:r>
    </w:p>
    <w:p>
      <w:pPr>
        <w:pStyle w:val="2"/>
        <w:widowControl w:val="0"/>
        <w:jc w:val="both"/>
      </w:pPr>
      <w:bookmarkStart w:id="48" w:name="_Toc2933"/>
      <w:r>
        <w:t>围护结构</w:t>
      </w:r>
      <w:bookmarkEnd w:id="48"/>
    </w:p>
    <w:p>
      <w:pPr>
        <w:pStyle w:val="4"/>
        <w:widowControl w:val="0"/>
        <w:jc w:val="both"/>
      </w:pPr>
      <w:bookmarkStart w:id="49" w:name="_Toc2534"/>
      <w:r>
        <w:t>工程材料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石材幕墙饰面</w:t>
            </w:r>
          </w:p>
        </w:tc>
        <w:tc>
          <w:tcPr>
            <w:vAlign w:val="center"/>
          </w:tcPr>
          <w:p>
            <w:pPr>
              <w:jc w:val="right"/>
            </w:pPr>
            <w:r>
              <w:t>1.740</w:t>
            </w:r>
          </w:p>
        </w:tc>
        <w:tc>
          <w:tcPr>
            <w:vAlign w:val="center"/>
          </w:tcPr>
          <w:p>
            <w:pPr>
              <w:jc w:val="right"/>
            </w:pPr>
            <w:r>
              <w:t>17.200</w:t>
            </w:r>
          </w:p>
        </w:tc>
        <w:tc>
          <w:tcPr>
            <w:vAlign w:val="center"/>
          </w:tcPr>
          <w:p>
            <w:pPr>
              <w:jc w:val="right"/>
            </w:pPr>
            <w:r>
              <w:t>1500.0</w:t>
            </w:r>
          </w:p>
        </w:tc>
        <w:tc>
          <w:tcPr>
            <w:vAlign w:val="center"/>
          </w:tcPr>
          <w:p>
            <w:pPr>
              <w:jc w:val="right"/>
            </w:pPr>
            <w:r>
              <w:t>2916.2</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0.450</w:t>
            </w:r>
          </w:p>
        </w:tc>
        <w:tc>
          <w:tcPr>
            <w:vAlign w:val="center"/>
          </w:tcPr>
          <w:p>
            <w:pPr>
              <w:jc w:val="right"/>
            </w:pPr>
            <w:r>
              <w:t>7.500</w:t>
            </w:r>
          </w:p>
        </w:tc>
        <w:tc>
          <w:tcPr>
            <w:vAlign w:val="center"/>
          </w:tcPr>
          <w:p>
            <w:pPr>
              <w:jc w:val="right"/>
            </w:pPr>
            <w:r>
              <w:t>1600.0</w:t>
            </w:r>
          </w:p>
        </w:tc>
        <w:tc>
          <w:tcPr>
            <w:vAlign w:val="center"/>
          </w:tcPr>
          <w:p>
            <w:pPr>
              <w:jc w:val="right"/>
            </w:pPr>
            <w:r>
              <w:t>1074.3</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w:t>
            </w:r>
          </w:p>
        </w:tc>
        <w:tc>
          <w:tcPr>
            <w:vAlign w:val="center"/>
          </w:tcPr>
          <w:p>
            <w:pPr>
              <w:jc w:val="right"/>
            </w:pPr>
            <w:r>
              <w:t>1.740</w:t>
            </w:r>
          </w:p>
        </w:tc>
        <w:tc>
          <w:tcPr>
            <w:vAlign w:val="center"/>
          </w:tcPr>
          <w:p>
            <w:pPr>
              <w:jc w:val="right"/>
            </w:pPr>
            <w:r>
              <w:t>17.200</w:t>
            </w:r>
          </w:p>
        </w:tc>
        <w:tc>
          <w:tcPr>
            <w:vAlign w:val="center"/>
          </w:tcPr>
          <w:p>
            <w:pPr>
              <w:jc w:val="right"/>
            </w:pPr>
            <w:r>
              <w:t>2300.0</w:t>
            </w:r>
          </w:p>
        </w:tc>
        <w:tc>
          <w:tcPr>
            <w:vAlign w:val="center"/>
          </w:tcPr>
          <w:p>
            <w:pPr>
              <w:jc w:val="right"/>
            </w:pPr>
            <w:r>
              <w:t>1016.5</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挤塑聚苯乙烯泡沫塑料板</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蒸压加气混凝土砌块(ρ=600)</w:t>
            </w:r>
          </w:p>
        </w:tc>
        <w:tc>
          <w:tcPr>
            <w:vAlign w:val="center"/>
          </w:tcPr>
          <w:p>
            <w:pPr>
              <w:jc w:val="right"/>
            </w:pPr>
            <w:r>
              <w:t>0.160</w:t>
            </w:r>
          </w:p>
        </w:tc>
        <w:tc>
          <w:tcPr>
            <w:vAlign w:val="center"/>
          </w:tcPr>
          <w:p>
            <w:pPr>
              <w:jc w:val="right"/>
            </w:pPr>
            <w:r>
              <w:t>3.200</w:t>
            </w:r>
          </w:p>
        </w:tc>
        <w:tc>
          <w:tcPr>
            <w:vAlign w:val="center"/>
          </w:tcPr>
          <w:p>
            <w:pPr>
              <w:jc w:val="right"/>
            </w:pPr>
            <w:r>
              <w:t>600.0</w:t>
            </w:r>
          </w:p>
        </w:tc>
        <w:tc>
          <w:tcPr>
            <w:vAlign w:val="center"/>
          </w:tcPr>
          <w:p>
            <w:pPr>
              <w:jc w:val="right"/>
            </w:pPr>
            <w:r>
              <w:t>1466.8</w:t>
            </w:r>
          </w:p>
        </w:tc>
        <w:tc>
          <w:tcPr>
            <w:vAlign w:val="center"/>
          </w:tcPr>
          <w:p>
            <w:pPr>
              <w:jc w:val="right"/>
            </w:pPr>
            <w:r>
              <w:t>0.1110</w:t>
            </w:r>
          </w:p>
        </w:tc>
        <w:tc>
          <w:tcPr>
            <w:vAlign w:val="center"/>
          </w:tcPr>
          <w:p>
            <w:r>
              <w:rPr>
                <w:sz w:val="18"/>
                <w:szCs w:val="18"/>
              </w:rPr>
              <w:t>闽 2015-J-39</w:t>
            </w:r>
          </w:p>
        </w:tc>
      </w:tr>
    </w:tbl>
    <w:p>
      <w:pPr>
        <w:pStyle w:val="4"/>
        <w:widowControl w:val="0"/>
        <w:jc w:val="both"/>
      </w:pPr>
      <w:bookmarkStart w:id="50" w:name="_Toc12473"/>
      <w:r>
        <w:t>围护结构作法简要说明</w:t>
      </w:r>
      <w:bookmarkEnd w:id="50"/>
    </w:p>
    <w:p>
      <w:pPr>
        <w:widowControl w:val="0"/>
        <w:jc w:val="both"/>
      </w:pPr>
      <w:r>
        <w:rPr>
          <w:b/>
          <w:color w:val="000000"/>
          <w:sz w:val="24"/>
          <w:szCs w:val="24"/>
        </w:rPr>
        <w:t>1. 屋顶：</w:t>
      </w:r>
      <w:r>
        <w:rPr>
          <w:color w:val="0000FF"/>
        </w:rPr>
        <w:t>屋顶构造一 (K=0.391,D=3.285)：</w:t>
      </w:r>
      <w:r>
        <w:rPr>
          <w:color w:val="000000"/>
        </w:rPr>
        <w:t>（由上到下）</w:t>
      </w:r>
    </w:p>
    <w:p>
      <w:pPr>
        <w:widowControl w:val="0"/>
        <w:jc w:val="both"/>
      </w:pPr>
      <w:r>
        <w:t xml:space="preserve">    </w:t>
      </w:r>
      <w:r>
        <w:rPr>
          <w:color w:val="000000"/>
        </w:rPr>
        <w:t>C20细石混凝土 40mm＋石材幕墙饰面 10mm＋</w:t>
      </w:r>
      <w:r>
        <w:rPr>
          <w:color w:val="800000"/>
        </w:rPr>
        <w:t>挤塑聚苯乙烯泡沫塑料板 80mm</w:t>
      </w:r>
      <w:r>
        <w:rPr>
          <w:color w:val="000000"/>
        </w:rPr>
        <w:t>＋石材幕墙饰面 20mm＋轻集料混凝土2%找坡层 30mm＋</w:t>
      </w:r>
      <w:r>
        <w:rPr>
          <w:color w:val="800080"/>
        </w:rPr>
        <w:t>钢筋混凝土 120mm</w:t>
      </w:r>
    </w:p>
    <w:p>
      <w:pPr>
        <w:widowControl w:val="0"/>
        <w:jc w:val="both"/>
        <w:rPr>
          <w:color w:val="000000"/>
        </w:rPr>
      </w:pPr>
      <w:r>
        <w:rPr>
          <w:b/>
          <w:color w:val="000000"/>
          <w:sz w:val="24"/>
          <w:szCs w:val="24"/>
        </w:rPr>
        <w:t>2. 外墙：</w:t>
      </w:r>
      <w:r>
        <w:rPr>
          <w:color w:val="0000FF"/>
        </w:rPr>
        <w:t>外墙（填充墙）构造一 (K=0.836,D=4.446)：</w:t>
      </w:r>
      <w:r>
        <w:rPr>
          <w:color w:val="000000"/>
        </w:rPr>
        <w:t>（由外到内）</w:t>
      </w:r>
    </w:p>
    <w:p>
      <w:pPr>
        <w:widowControl w:val="0"/>
        <w:jc w:val="both"/>
        <w:rPr>
          <w:color w:val="000000"/>
        </w:rPr>
      </w:pPr>
      <w:r>
        <w:rPr>
          <w:color w:val="000000"/>
        </w:rPr>
        <w:t xml:space="preserve">    石材幕墙饰面 20mm＋</w:t>
      </w:r>
      <w:r>
        <w:rPr>
          <w:color w:val="800000"/>
        </w:rPr>
        <w:t>蒸压加气混凝土砌块(ρ=600) 200mm</w:t>
      </w:r>
      <w:r>
        <w:rPr>
          <w:color w:val="000000"/>
        </w:rPr>
        <w:t>＋石灰砂浆 20mm</w:t>
      </w:r>
    </w:p>
    <w:p>
      <w:pPr>
        <w:widowControl w:val="0"/>
        <w:jc w:val="both"/>
        <w:rPr>
          <w:color w:val="000000"/>
        </w:rPr>
      </w:pPr>
      <w:r>
        <w:rPr>
          <w:b/>
          <w:color w:val="000000"/>
          <w:sz w:val="24"/>
          <w:szCs w:val="24"/>
        </w:rPr>
        <w:t>3. 外窗：</w:t>
      </w:r>
      <w:r>
        <w:rPr>
          <w:color w:val="0000FF"/>
        </w:rPr>
        <w:t>铝合金窗--6高透光单银Low+12空气+6透明玻璃 (K=2.730)：</w:t>
      </w:r>
    </w:p>
    <w:p>
      <w:pPr>
        <w:widowControl w:val="0"/>
        <w:jc w:val="both"/>
        <w:rPr>
          <w:color w:val="000000"/>
        </w:rPr>
      </w:pPr>
      <w:r>
        <w:rPr>
          <w:color w:val="000000"/>
        </w:rPr>
        <w:t xml:space="preserve">    传热系数2.730W/㎡.K，窗太阳得热系数0.461</w:t>
      </w:r>
    </w:p>
    <w:p>
      <w:pPr>
        <w:widowControl w:val="0"/>
        <w:jc w:val="both"/>
        <w:rPr>
          <w:color w:val="000000"/>
        </w:rPr>
      </w:pPr>
      <w:r>
        <w:rPr>
          <w:b/>
          <w:color w:val="000000"/>
          <w:sz w:val="24"/>
          <w:szCs w:val="24"/>
        </w:rPr>
        <w:t>4. 幕墙：</w:t>
      </w:r>
      <w:r>
        <w:rPr>
          <w:color w:val="0000FF"/>
        </w:rPr>
        <w:t>铝合金窗--6高透光单银Low+12空气+6透明玻璃 (K=2.730)：</w:t>
      </w:r>
    </w:p>
    <w:p>
      <w:pPr>
        <w:widowControl w:val="0"/>
        <w:jc w:val="both"/>
        <w:rPr>
          <w:color w:val="000000"/>
        </w:rPr>
      </w:pPr>
      <w:r>
        <w:rPr>
          <w:color w:val="000000"/>
        </w:rPr>
        <w:t xml:space="preserve">    传热系数2.730W/㎡.K，窗太阳得热系数0.461</w:t>
      </w:r>
    </w:p>
    <w:p>
      <w:pPr>
        <w:pStyle w:val="2"/>
        <w:widowControl w:val="0"/>
        <w:jc w:val="both"/>
        <w:rPr>
          <w:color w:val="000000"/>
        </w:rPr>
      </w:pPr>
      <w:bookmarkStart w:id="51" w:name="_Toc12091"/>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3.29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0.84</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4.45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东向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0.38</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0.20</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0.39</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2" w:name="_Toc3704"/>
      <w:r>
        <w:rPr>
          <w:color w:val="000000"/>
        </w:rPr>
        <w:t>房间类型</w:t>
      </w:r>
      <w:bookmarkEnd w:id="52"/>
    </w:p>
    <w:p>
      <w:pPr>
        <w:pStyle w:val="4"/>
        <w:widowControl w:val="0"/>
        <w:jc w:val="both"/>
        <w:rPr>
          <w:color w:val="000000"/>
        </w:rPr>
      </w:pPr>
      <w:bookmarkStart w:id="53" w:name="_Toc1380"/>
      <w:r>
        <w:rPr>
          <w:color w:val="000000"/>
        </w:rPr>
        <w:t>房间参数表</w:t>
      </w:r>
      <w:bookmarkEnd w:id="5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0.15(人/㎡)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连接通道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54" w:name="_Toc13288"/>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15091"/>
      <w:r>
        <w:rPr>
          <w:color w:val="000000"/>
        </w:rPr>
        <w:t>系统类型</w:t>
      </w:r>
      <w:bookmarkEnd w:id="55"/>
    </w:p>
    <w:p>
      <w:pPr>
        <w:pStyle w:val="4"/>
        <w:widowControl w:val="0"/>
        <w:jc w:val="both"/>
        <w:rPr>
          <w:color w:val="000000"/>
        </w:rPr>
      </w:pPr>
      <w:bookmarkStart w:id="56" w:name="_Toc18621"/>
      <w:r>
        <w:rPr>
          <w:color w:val="000000"/>
        </w:rPr>
        <w:t>系统分区</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456.38</w:t>
            </w:r>
          </w:p>
        </w:tc>
        <w:tc>
          <w:tcPr>
            <w:vAlign w:val="center"/>
          </w:tcPr>
          <w:p>
            <w:r>
              <w:t>所有房间</w:t>
            </w:r>
          </w:p>
        </w:tc>
      </w:tr>
    </w:tbl>
    <w:p>
      <w:pPr>
        <w:pStyle w:val="4"/>
        <w:widowControl w:val="0"/>
        <w:jc w:val="both"/>
        <w:rPr>
          <w:color w:val="000000"/>
        </w:rPr>
      </w:pPr>
      <w:bookmarkStart w:id="57" w:name="_Toc26252"/>
      <w:r>
        <w:rPr>
          <w:color w:val="000000"/>
        </w:rPr>
        <w:t>热回收参数</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8" w:name="_Toc26565"/>
      <w:r>
        <w:rPr>
          <w:color w:val="000000"/>
        </w:rPr>
        <w:t>制冷系统</w:t>
      </w:r>
      <w:bookmarkEnd w:id="58"/>
    </w:p>
    <w:p>
      <w:pPr>
        <w:pStyle w:val="4"/>
        <w:widowControl w:val="0"/>
        <w:jc w:val="both"/>
        <w:rPr>
          <w:color w:val="000000"/>
        </w:rPr>
      </w:pPr>
      <w:bookmarkStart w:id="59" w:name="_Toc924"/>
      <w:r>
        <w:rPr>
          <w:color w:val="000000"/>
        </w:rPr>
        <w:t>多联机/单元式空调能耗</w:t>
      </w:r>
      <w:bookmarkEnd w:id="5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6.00</w:t>
            </w:r>
          </w:p>
        </w:tc>
        <w:tc>
          <w:tcPr>
            <w:vAlign w:val="center"/>
          </w:tcPr>
          <w:p>
            <w:r>
              <w:t>50472</w:t>
            </w:r>
          </w:p>
        </w:tc>
        <w:tc>
          <w:tcPr>
            <w:vAlign w:val="center"/>
          </w:tcPr>
          <w:p>
            <w:r>
              <w:t>8412</w:t>
            </w:r>
          </w:p>
        </w:tc>
        <w:tc>
          <w:tcPr>
            <w:vAlign w:val="center"/>
          </w:tcPr>
          <w:p>
            <w:r>
              <w:t>0.5703</w:t>
            </w:r>
          </w:p>
        </w:tc>
        <w:tc>
          <w:tcPr>
            <w:vAlign w:val="center"/>
          </w:tcPr>
          <w:p>
            <w:r>
              <w:t>4.797</w:t>
            </w:r>
          </w:p>
        </w:tc>
      </w:tr>
    </w:tbl>
    <w:p>
      <w:pPr>
        <w:pStyle w:val="2"/>
        <w:widowControl w:val="0"/>
        <w:jc w:val="both"/>
        <w:rPr>
          <w:color w:val="000000"/>
        </w:rPr>
      </w:pPr>
      <w:bookmarkStart w:id="60" w:name="_Toc838"/>
      <w:r>
        <w:rPr>
          <w:color w:val="000000"/>
        </w:rPr>
        <w:t>空调风机</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2671</w:t>
            </w:r>
          </w:p>
        </w:tc>
        <w:tc>
          <w:tcPr>
            <w:vMerge w:val="restart"/>
            <w:vAlign w:val="center"/>
          </w:tcPr>
          <w:p>
            <w:r>
              <w:t>0.5703</w:t>
            </w:r>
          </w:p>
        </w:tc>
        <w:tc>
          <w:tcPr>
            <w:vAlign w:val="center"/>
          </w:tcPr>
          <w:p>
            <w:r>
              <w:t>1.523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1.523</w:t>
            </w:r>
          </w:p>
        </w:tc>
      </w:tr>
    </w:tbl>
    <w:p>
      <w:pPr>
        <w:pStyle w:val="2"/>
        <w:widowControl w:val="0"/>
        <w:jc w:val="both"/>
        <w:rPr>
          <w:color w:val="000000"/>
        </w:rPr>
      </w:pPr>
      <w:bookmarkStart w:id="61" w:name="_Toc13741"/>
      <w:r>
        <w:rPr>
          <w:color w:val="000000"/>
        </w:rPr>
        <w:t>照明</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15.12</w:t>
            </w:r>
          </w:p>
        </w:tc>
        <w:tc>
          <w:tcPr>
            <w:vAlign w:val="center"/>
          </w:tcPr>
          <w:p>
            <w:r>
              <w:t>1</w:t>
            </w:r>
          </w:p>
        </w:tc>
        <w:tc>
          <w:tcPr>
            <w:vAlign w:val="center"/>
          </w:tcPr>
          <w:p>
            <w:r>
              <w:t>72</w:t>
            </w:r>
          </w:p>
        </w:tc>
        <w:tc>
          <w:tcPr>
            <w:vAlign w:val="center"/>
          </w:tcPr>
          <w:p>
            <w:r>
              <w:t>1089</w:t>
            </w:r>
          </w:p>
        </w:tc>
        <w:tc>
          <w:tcPr>
            <w:vMerge w:val="restart"/>
            <w:vAlign w:val="center"/>
          </w:tcPr>
          <w:p>
            <w:r>
              <w:t>0.5703</w:t>
            </w:r>
          </w:p>
        </w:tc>
        <w:tc>
          <w:tcPr>
            <w:vAlign w:val="center"/>
          </w:tcPr>
          <w:p>
            <w:r>
              <w:t>0.621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博览-办公室</w:t>
            </w:r>
          </w:p>
        </w:tc>
        <w:tc>
          <w:tcPr>
            <w:vAlign w:val="center"/>
          </w:tcPr>
          <w:p>
            <w:r>
              <w:t>15.12</w:t>
            </w:r>
          </w:p>
        </w:tc>
        <w:tc>
          <w:tcPr>
            <w:vAlign w:val="center"/>
          </w:tcPr>
          <w:p>
            <w:r>
              <w:t>1</w:t>
            </w:r>
          </w:p>
        </w:tc>
        <w:tc>
          <w:tcPr>
            <w:vAlign w:val="center"/>
          </w:tcPr>
          <w:p>
            <w:r>
              <w:t>126</w:t>
            </w:r>
          </w:p>
        </w:tc>
        <w:tc>
          <w:tcPr>
            <w:vAlign w:val="center"/>
          </w:tcPr>
          <w:p>
            <w:r>
              <w:t>1906</w:t>
            </w:r>
          </w:p>
        </w:tc>
        <w:tc>
          <w:tcPr>
            <w:vMerge w:val="continue"/>
            <w:vAlign w:val="center"/>
          </w:tcPr>
          <w:p/>
        </w:tc>
        <w:tc>
          <w:tcPr>
            <w:vAlign w:val="center"/>
          </w:tcPr>
          <w:p>
            <w:r>
              <w:t>1.087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6.72</w:t>
            </w:r>
          </w:p>
        </w:tc>
        <w:tc>
          <w:tcPr>
            <w:vAlign w:val="center"/>
          </w:tcPr>
          <w:p>
            <w:r>
              <w:t>4</w:t>
            </w:r>
          </w:p>
        </w:tc>
        <w:tc>
          <w:tcPr>
            <w:vAlign w:val="center"/>
          </w:tcPr>
          <w:p>
            <w:r>
              <w:t>37</w:t>
            </w:r>
          </w:p>
        </w:tc>
        <w:tc>
          <w:tcPr>
            <w:vAlign w:val="center"/>
          </w:tcPr>
          <w:p>
            <w:r>
              <w:t>248</w:t>
            </w:r>
          </w:p>
        </w:tc>
        <w:tc>
          <w:tcPr>
            <w:vMerge w:val="continue"/>
            <w:vAlign w:val="center"/>
          </w:tcPr>
          <w:p/>
        </w:tc>
        <w:tc>
          <w:tcPr>
            <w:vAlign w:val="center"/>
          </w:tcPr>
          <w:p>
            <w:r>
              <w:t>0.142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15.12</w:t>
            </w:r>
          </w:p>
        </w:tc>
        <w:tc>
          <w:tcPr>
            <w:vAlign w:val="center"/>
          </w:tcPr>
          <w:p>
            <w:r>
              <w:t>2</w:t>
            </w:r>
          </w:p>
        </w:tc>
        <w:tc>
          <w:tcPr>
            <w:vAlign w:val="center"/>
          </w:tcPr>
          <w:p>
            <w:r>
              <w:t>199</w:t>
            </w:r>
          </w:p>
        </w:tc>
        <w:tc>
          <w:tcPr>
            <w:vAlign w:val="center"/>
          </w:tcPr>
          <w:p>
            <w:r>
              <w:t>3005</w:t>
            </w:r>
          </w:p>
        </w:tc>
        <w:tc>
          <w:tcPr>
            <w:vMerge w:val="continue"/>
            <w:vAlign w:val="center"/>
          </w:tcPr>
          <w:p/>
        </w:tc>
        <w:tc>
          <w:tcPr>
            <w:vAlign w:val="center"/>
          </w:tcPr>
          <w:p>
            <w:r>
              <w:t>1.714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5.50</w:t>
            </w:r>
          </w:p>
        </w:tc>
        <w:tc>
          <w:tcPr>
            <w:vAlign w:val="center"/>
          </w:tcPr>
          <w:p>
            <w:r>
              <w:t>2</w:t>
            </w:r>
          </w:p>
        </w:tc>
        <w:tc>
          <w:tcPr>
            <w:vAlign w:val="center"/>
          </w:tcPr>
          <w:p>
            <w:r>
              <w:t>44</w:t>
            </w:r>
          </w:p>
        </w:tc>
        <w:tc>
          <w:tcPr>
            <w:vAlign w:val="center"/>
          </w:tcPr>
          <w:p>
            <w:r>
              <w:t>239</w:t>
            </w:r>
          </w:p>
        </w:tc>
        <w:tc>
          <w:tcPr>
            <w:vMerge w:val="continue"/>
            <w:vAlign w:val="center"/>
          </w:tcPr>
          <w:p/>
        </w:tc>
        <w:tc>
          <w:tcPr>
            <w:vAlign w:val="center"/>
          </w:tcPr>
          <w:p>
            <w:r>
              <w:t>0.137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15.12</w:t>
            </w:r>
          </w:p>
        </w:tc>
        <w:tc>
          <w:tcPr>
            <w:vAlign w:val="center"/>
          </w:tcPr>
          <w:p>
            <w:r>
              <w:t>2</w:t>
            </w:r>
          </w:p>
        </w:tc>
        <w:tc>
          <w:tcPr>
            <w:vAlign w:val="center"/>
          </w:tcPr>
          <w:p>
            <w:r>
              <w:t>63</w:t>
            </w:r>
          </w:p>
        </w:tc>
        <w:tc>
          <w:tcPr>
            <w:vAlign w:val="center"/>
          </w:tcPr>
          <w:p>
            <w:r>
              <w:t>950</w:t>
            </w:r>
          </w:p>
        </w:tc>
        <w:tc>
          <w:tcPr>
            <w:vMerge w:val="continue"/>
            <w:vAlign w:val="center"/>
          </w:tcPr>
          <w:p/>
        </w:tc>
        <w:tc>
          <w:tcPr>
            <w:vAlign w:val="center"/>
          </w:tcPr>
          <w:p>
            <w:r>
              <w:t>0.542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4.241</w:t>
            </w:r>
          </w:p>
        </w:tc>
      </w:tr>
    </w:tbl>
    <w:p>
      <w:pPr>
        <w:pStyle w:val="2"/>
        <w:widowControl w:val="0"/>
        <w:jc w:val="both"/>
        <w:rPr>
          <w:color w:val="000000"/>
        </w:rPr>
      </w:pPr>
      <w:bookmarkStart w:id="62" w:name="_Toc18804"/>
      <w:r>
        <w:rPr>
          <w:color w:val="000000"/>
        </w:rPr>
        <w:t>插座设备</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35.25</w:t>
            </w:r>
          </w:p>
        </w:tc>
        <w:tc>
          <w:tcPr>
            <w:vAlign w:val="center"/>
          </w:tcPr>
          <w:p>
            <w:r>
              <w:t>1</w:t>
            </w:r>
          </w:p>
        </w:tc>
        <w:tc>
          <w:tcPr>
            <w:vAlign w:val="center"/>
          </w:tcPr>
          <w:p>
            <w:r>
              <w:t>72</w:t>
            </w:r>
          </w:p>
        </w:tc>
        <w:tc>
          <w:tcPr>
            <w:vAlign w:val="center"/>
          </w:tcPr>
          <w:p>
            <w:r>
              <w:t>2538</w:t>
            </w:r>
          </w:p>
        </w:tc>
        <w:tc>
          <w:tcPr>
            <w:vMerge w:val="restart"/>
            <w:vAlign w:val="center"/>
          </w:tcPr>
          <w:p>
            <w:r>
              <w:t>0.5703</w:t>
            </w:r>
          </w:p>
        </w:tc>
        <w:tc>
          <w:tcPr>
            <w:vAlign w:val="center"/>
          </w:tcPr>
          <w:p>
            <w:r>
              <w:t>1.447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博览-办公室</w:t>
            </w:r>
          </w:p>
        </w:tc>
        <w:tc>
          <w:tcPr>
            <w:vAlign w:val="center"/>
          </w:tcPr>
          <w:p>
            <w:r>
              <w:t>35.25</w:t>
            </w:r>
          </w:p>
        </w:tc>
        <w:tc>
          <w:tcPr>
            <w:vAlign w:val="center"/>
          </w:tcPr>
          <w:p>
            <w:r>
              <w:t>1</w:t>
            </w:r>
          </w:p>
        </w:tc>
        <w:tc>
          <w:tcPr>
            <w:vAlign w:val="center"/>
          </w:tcPr>
          <w:p>
            <w:r>
              <w:t>126</w:t>
            </w:r>
          </w:p>
        </w:tc>
        <w:tc>
          <w:tcPr>
            <w:vAlign w:val="center"/>
          </w:tcPr>
          <w:p>
            <w:r>
              <w:t>4443</w:t>
            </w:r>
          </w:p>
        </w:tc>
        <w:tc>
          <w:tcPr>
            <w:vMerge w:val="continue"/>
            <w:vAlign w:val="center"/>
          </w:tcPr>
          <w:p/>
        </w:tc>
        <w:tc>
          <w:tcPr>
            <w:vAlign w:val="center"/>
          </w:tcPr>
          <w:p>
            <w:r>
              <w:t>2.534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35.25</w:t>
            </w:r>
          </w:p>
        </w:tc>
        <w:tc>
          <w:tcPr>
            <w:vAlign w:val="center"/>
          </w:tcPr>
          <w:p>
            <w:r>
              <w:t>4</w:t>
            </w:r>
          </w:p>
        </w:tc>
        <w:tc>
          <w:tcPr>
            <w:vAlign w:val="center"/>
          </w:tcPr>
          <w:p>
            <w:r>
              <w:t>37</w:t>
            </w:r>
          </w:p>
        </w:tc>
        <w:tc>
          <w:tcPr>
            <w:vAlign w:val="center"/>
          </w:tcPr>
          <w:p>
            <w:r>
              <w:t>1303</w:t>
            </w:r>
          </w:p>
        </w:tc>
        <w:tc>
          <w:tcPr>
            <w:vMerge w:val="continue"/>
            <w:vAlign w:val="center"/>
          </w:tcPr>
          <w:p/>
        </w:tc>
        <w:tc>
          <w:tcPr>
            <w:vAlign w:val="center"/>
          </w:tcPr>
          <w:p>
            <w:r>
              <w:t>0.743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35.25</w:t>
            </w:r>
          </w:p>
        </w:tc>
        <w:tc>
          <w:tcPr>
            <w:vAlign w:val="center"/>
          </w:tcPr>
          <w:p>
            <w:r>
              <w:t>2</w:t>
            </w:r>
          </w:p>
        </w:tc>
        <w:tc>
          <w:tcPr>
            <w:vAlign w:val="center"/>
          </w:tcPr>
          <w:p>
            <w:r>
              <w:t>199</w:t>
            </w:r>
          </w:p>
        </w:tc>
        <w:tc>
          <w:tcPr>
            <w:vAlign w:val="center"/>
          </w:tcPr>
          <w:p>
            <w:r>
              <w:t>7005</w:t>
            </w:r>
          </w:p>
        </w:tc>
        <w:tc>
          <w:tcPr>
            <w:vMerge w:val="continue"/>
            <w:vAlign w:val="center"/>
          </w:tcPr>
          <w:p/>
        </w:tc>
        <w:tc>
          <w:tcPr>
            <w:vAlign w:val="center"/>
          </w:tcPr>
          <w:p>
            <w:r>
              <w:t>3.995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37.50</w:t>
            </w:r>
          </w:p>
        </w:tc>
        <w:tc>
          <w:tcPr>
            <w:vAlign w:val="center"/>
          </w:tcPr>
          <w:p>
            <w:r>
              <w:t>2</w:t>
            </w:r>
          </w:p>
        </w:tc>
        <w:tc>
          <w:tcPr>
            <w:vAlign w:val="center"/>
          </w:tcPr>
          <w:p>
            <w:r>
              <w:t>44</w:t>
            </w:r>
          </w:p>
        </w:tc>
        <w:tc>
          <w:tcPr>
            <w:vAlign w:val="center"/>
          </w:tcPr>
          <w:p>
            <w:r>
              <w:t>1632</w:t>
            </w:r>
          </w:p>
        </w:tc>
        <w:tc>
          <w:tcPr>
            <w:vMerge w:val="continue"/>
            <w:vAlign w:val="center"/>
          </w:tcPr>
          <w:p/>
        </w:tc>
        <w:tc>
          <w:tcPr>
            <w:vAlign w:val="center"/>
          </w:tcPr>
          <w:p>
            <w:r>
              <w:t>0.931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35.25</w:t>
            </w:r>
          </w:p>
        </w:tc>
        <w:tc>
          <w:tcPr>
            <w:vAlign w:val="center"/>
          </w:tcPr>
          <w:p>
            <w:r>
              <w:t>2</w:t>
            </w:r>
          </w:p>
        </w:tc>
        <w:tc>
          <w:tcPr>
            <w:vAlign w:val="center"/>
          </w:tcPr>
          <w:p>
            <w:r>
              <w:t>63</w:t>
            </w:r>
          </w:p>
        </w:tc>
        <w:tc>
          <w:tcPr>
            <w:vAlign w:val="center"/>
          </w:tcPr>
          <w:p>
            <w:r>
              <w:t>2214</w:t>
            </w:r>
          </w:p>
        </w:tc>
        <w:tc>
          <w:tcPr>
            <w:vMerge w:val="continue"/>
            <w:vAlign w:val="center"/>
          </w:tcPr>
          <w:p/>
        </w:tc>
        <w:tc>
          <w:tcPr>
            <w:vAlign w:val="center"/>
          </w:tcPr>
          <w:p>
            <w:r>
              <w:t>1.263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10.913</w:t>
            </w:r>
          </w:p>
        </w:tc>
      </w:tr>
    </w:tbl>
    <w:p>
      <w:pPr>
        <w:pStyle w:val="2"/>
        <w:widowControl w:val="0"/>
        <w:jc w:val="both"/>
        <w:rPr>
          <w:color w:val="000000"/>
        </w:rPr>
      </w:pPr>
      <w:bookmarkStart w:id="63" w:name="_Toc3989"/>
      <w:r>
        <w:rPr>
          <w:color w:val="000000"/>
        </w:rPr>
        <w:t>排风机</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额定功率</w:t>
            </w:r>
            <w:r>
              <w:br w:type="textWrapping"/>
            </w:r>
            <w:r>
              <w:t>(kW)</w:t>
            </w:r>
          </w:p>
        </w:tc>
        <w:tc>
          <w:tcPr>
            <w:shd w:val="clear" w:color="auto" w:fill="E6E6E6"/>
            <w:vAlign w:val="center"/>
          </w:tcPr>
          <w:p>
            <w:pPr>
              <w:jc w:val="center"/>
            </w:pPr>
            <w:r>
              <w:t>台数</w:t>
            </w:r>
          </w:p>
        </w:tc>
        <w:tc>
          <w:tcPr>
            <w:shd w:val="clear" w:color="auto" w:fill="E6E6E6"/>
            <w:vAlign w:val="center"/>
          </w:tcPr>
          <w:p>
            <w:pPr>
              <w:jc w:val="center"/>
            </w:pPr>
            <w:r>
              <w:t>使用系数</w:t>
            </w:r>
          </w:p>
        </w:tc>
        <w:tc>
          <w:tcPr>
            <w:shd w:val="clear" w:color="auto" w:fill="E6E6E6"/>
            <w:vAlign w:val="center"/>
          </w:tcPr>
          <w:p>
            <w:pPr>
              <w:jc w:val="center"/>
            </w:pPr>
            <w:r>
              <w:t>运行时间</w:t>
            </w:r>
            <w:r>
              <w:br w:type="textWrapping"/>
            </w:r>
            <w:r>
              <w:t>(h/天)</w:t>
            </w:r>
          </w:p>
        </w:tc>
        <w:tc>
          <w:tcPr>
            <w:shd w:val="clear" w:color="auto" w:fill="E6E6E6"/>
            <w:vAlign w:val="center"/>
          </w:tcPr>
          <w:p>
            <w:pPr>
              <w:jc w:val="center"/>
            </w:pPr>
            <w:r>
              <w:t>年运行天数</w:t>
            </w:r>
          </w:p>
        </w:tc>
        <w:tc>
          <w:tcPr>
            <w:shd w:val="clear" w:color="auto" w:fill="E6E6E6"/>
            <w:vAlign w:val="center"/>
          </w:tcPr>
          <w:p>
            <w:pPr>
              <w:jc w:val="center"/>
            </w:pPr>
            <w:r>
              <w:t>全年电耗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4</w:t>
            </w:r>
          </w:p>
        </w:tc>
        <w:tc>
          <w:tcPr>
            <w:vAlign w:val="center"/>
          </w:tcPr>
          <w:p>
            <w:r>
              <w:t>0.8</w:t>
            </w:r>
          </w:p>
        </w:tc>
        <w:tc>
          <w:tcPr>
            <w:vAlign w:val="center"/>
          </w:tcPr>
          <w:p>
            <w:r>
              <w:t>5</w:t>
            </w:r>
          </w:p>
        </w:tc>
        <w:tc>
          <w:tcPr>
            <w:vAlign w:val="center"/>
          </w:tcPr>
          <w:p>
            <w:r>
              <w:t>365</w:t>
            </w:r>
          </w:p>
        </w:tc>
        <w:tc>
          <w:tcPr>
            <w:vAlign w:val="center"/>
          </w:tcPr>
          <w:p>
            <w:r>
              <w:t>29200</w:t>
            </w:r>
          </w:p>
        </w:tc>
        <w:tc>
          <w:tcPr>
            <w:vAlign w:val="center"/>
          </w:tcPr>
          <w:p>
            <w:r>
              <w:t>0.5703</w:t>
            </w:r>
          </w:p>
        </w:tc>
        <w:tc>
          <w:tcPr>
            <w:vAlign w:val="center"/>
          </w:tcPr>
          <w:p>
            <w:r>
              <w:t>16.653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16.653</w:t>
            </w:r>
          </w:p>
        </w:tc>
      </w:tr>
    </w:tbl>
    <w:p>
      <w:pPr>
        <w:widowControl w:val="0"/>
        <w:jc w:val="both"/>
        <w:rPr>
          <w:color w:val="000000"/>
        </w:rPr>
      </w:pPr>
      <w:r>
        <w:rPr>
          <w:color w:val="000000"/>
        </w:rPr>
        <w:t>注：此类风机指非空调区域排风机</w:t>
      </w:r>
    </w:p>
    <w:p>
      <w:pPr>
        <w:pStyle w:val="2"/>
        <w:widowControl w:val="0"/>
        <w:jc w:val="both"/>
        <w:rPr>
          <w:color w:val="000000"/>
        </w:rPr>
      </w:pPr>
      <w:bookmarkStart w:id="64" w:name="_Toc29056"/>
      <w:r>
        <w:rPr>
          <w:color w:val="000000"/>
        </w:rPr>
        <w:t>生活热水</w:t>
      </w:r>
      <w:bookmarkEnd w:id="64"/>
    </w:p>
    <w:p>
      <w:pPr>
        <w:pStyle w:val="4"/>
        <w:widowControl w:val="0"/>
        <w:jc w:val="both"/>
        <w:rPr>
          <w:color w:val="000000"/>
        </w:rPr>
      </w:pPr>
      <w:bookmarkStart w:id="65" w:name="_Toc17611"/>
      <w:r>
        <w:rPr>
          <w:color w:val="000000"/>
        </w:rPr>
        <w:t>热水需求</w:t>
      </w:r>
      <w:bookmarkEnd w:id="6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25</w:t>
            </w:r>
          </w:p>
        </w:tc>
        <w:tc>
          <w:tcPr>
            <w:vAlign w:val="center"/>
          </w:tcPr>
          <w:p>
            <w:r>
              <w:t>35</w:t>
            </w:r>
          </w:p>
        </w:tc>
        <w:tc>
          <w:tcPr>
            <w:vAlign w:val="center"/>
          </w:tcPr>
          <w:p>
            <w:r>
              <w:t>12</w:t>
            </w:r>
          </w:p>
        </w:tc>
        <w:tc>
          <w:tcPr>
            <w:vAlign w:val="center"/>
          </w:tcPr>
          <w:p>
            <w:r>
              <w:t>330</w:t>
            </w:r>
          </w:p>
        </w:tc>
        <w:tc>
          <w:tcPr>
            <w:vAlign w:val="center"/>
          </w:tcPr>
          <w:p>
            <w:r>
              <w:t>3961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展厅</w:t>
            </w:r>
          </w:p>
        </w:tc>
        <w:tc>
          <w:tcPr>
            <w:vAlign w:val="center"/>
          </w:tcPr>
          <w:p>
            <w:r>
              <w:t>20</w:t>
            </w:r>
          </w:p>
        </w:tc>
        <w:tc>
          <w:tcPr>
            <w:vAlign w:val="center"/>
          </w:tcPr>
          <w:p>
            <w:r>
              <w:t>35</w:t>
            </w:r>
          </w:p>
        </w:tc>
        <w:tc>
          <w:tcPr>
            <w:vAlign w:val="center"/>
          </w:tcPr>
          <w:p>
            <w:r>
              <w:t>110</w:t>
            </w:r>
          </w:p>
        </w:tc>
        <w:tc>
          <w:tcPr>
            <w:vAlign w:val="center"/>
          </w:tcPr>
          <w:p>
            <w:r>
              <w:t>330</w:t>
            </w:r>
          </w:p>
        </w:tc>
        <w:tc>
          <w:tcPr>
            <w:vAlign w:val="center"/>
          </w:tcPr>
          <w:p>
            <w:r>
              <w:t>29051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体验</w:t>
            </w:r>
          </w:p>
        </w:tc>
        <w:tc>
          <w:tcPr>
            <w:vAlign w:val="center"/>
          </w:tcPr>
          <w:p>
            <w:r>
              <w:t>20</w:t>
            </w:r>
          </w:p>
        </w:tc>
        <w:tc>
          <w:tcPr>
            <w:vAlign w:val="center"/>
          </w:tcPr>
          <w:p>
            <w:r>
              <w:t>35</w:t>
            </w:r>
          </w:p>
        </w:tc>
        <w:tc>
          <w:tcPr>
            <w:vAlign w:val="center"/>
          </w:tcPr>
          <w:p>
            <w:r>
              <w:t>100</w:t>
            </w:r>
          </w:p>
        </w:tc>
        <w:tc>
          <w:tcPr>
            <w:vAlign w:val="center"/>
          </w:tcPr>
          <w:p>
            <w:r>
              <w:t>330</w:t>
            </w:r>
          </w:p>
        </w:tc>
        <w:tc>
          <w:tcPr>
            <w:vAlign w:val="center"/>
          </w:tcPr>
          <w:p>
            <w:r>
              <w:t>26410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59422</w:t>
            </w:r>
          </w:p>
        </w:tc>
      </w:tr>
    </w:tbl>
    <w:p>
      <w:pPr>
        <w:pStyle w:val="4"/>
        <w:widowControl w:val="0"/>
        <w:jc w:val="both"/>
        <w:rPr>
          <w:color w:val="000000"/>
        </w:rPr>
      </w:pPr>
      <w:bookmarkStart w:id="66" w:name="_Toc24060"/>
      <w:r>
        <w:rPr>
          <w:color w:val="000000"/>
        </w:rPr>
        <w:t>太阳能集热</w:t>
      </w:r>
      <w:bookmarkEnd w:id="66"/>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8"/>
        <w:gridCol w:w="2546"/>
        <w:gridCol w:w="1839"/>
        <w:gridCol w:w="2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年集热量(MJ)</w:t>
            </w:r>
          </w:p>
        </w:tc>
        <w:tc>
          <w:tcPr>
            <w:shd w:val="clear" w:color="auto" w:fill="E6E6E6"/>
            <w:vAlign w:val="center"/>
          </w:tcPr>
          <w:p>
            <w:pPr>
              <w:jc w:val="center"/>
            </w:pPr>
            <w:r>
              <w:t>年均集热效率(%)</w:t>
            </w:r>
          </w:p>
        </w:tc>
        <w:tc>
          <w:tcPr>
            <w:shd w:val="clear" w:color="auto" w:fill="E6E6E6"/>
            <w:vAlign w:val="center"/>
          </w:tcPr>
          <w:p>
            <w:pPr>
              <w:jc w:val="center"/>
            </w:pPr>
            <w:r>
              <w:t>热量损失率(%)</w:t>
            </w:r>
          </w:p>
        </w:tc>
        <w:tc>
          <w:tcPr>
            <w:shd w:val="clear" w:color="auto" w:fill="E6E6E6"/>
            <w:vAlign w:val="center"/>
          </w:tcPr>
          <w:p>
            <w:pPr>
              <w:jc w:val="center"/>
            </w:pPr>
            <w:r>
              <w:t>太阳能提供热量(kWh/a)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12450</w:t>
            </w:r>
          </w:p>
        </w:tc>
        <w:tc>
          <w:tcPr>
            <w:vAlign w:val="center"/>
          </w:tcPr>
          <w:p>
            <w:r>
              <w:t>40</w:t>
            </w:r>
          </w:p>
        </w:tc>
        <w:tc>
          <w:tcPr>
            <w:vAlign w:val="center"/>
          </w:tcPr>
          <w:p>
            <w:r>
              <w:t>25</w:t>
            </w:r>
          </w:p>
        </w:tc>
        <w:tc>
          <w:tcPr>
            <w:vAlign w:val="center"/>
          </w:tcPr>
          <w:p>
            <w:r>
              <w:t>1037.5</w:t>
            </w:r>
          </w:p>
        </w:tc>
      </w:tr>
    </w:tbl>
    <w:p>
      <w:pPr>
        <w:pStyle w:val="4"/>
        <w:widowControl w:val="0"/>
        <w:jc w:val="both"/>
        <w:rPr>
          <w:color w:val="000000"/>
        </w:rPr>
      </w:pPr>
      <w:bookmarkStart w:id="67" w:name="_Toc7840"/>
      <w:r>
        <w:rPr>
          <w:color w:val="000000"/>
        </w:rPr>
        <w:t>热水设备</w:t>
      </w:r>
      <w:bookmarkEnd w:id="6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0.25</w:t>
            </w:r>
          </w:p>
        </w:tc>
        <w:tc>
          <w:tcPr>
            <w:vAlign w:val="center"/>
          </w:tcPr>
          <w:p>
            <w:r>
              <w:t>14596</w:t>
            </w:r>
          </w:p>
        </w:tc>
        <w:tc>
          <w:tcPr>
            <w:vAlign w:val="center"/>
          </w:tcPr>
          <w:p>
            <w:r>
              <w:t>电</w:t>
            </w:r>
          </w:p>
        </w:tc>
        <w:tc>
          <w:tcPr>
            <w:vAlign w:val="center"/>
          </w:tcPr>
          <w:p>
            <w:r>
              <w:t>90</w:t>
            </w:r>
          </w:p>
        </w:tc>
        <w:tc>
          <w:tcPr>
            <w:vAlign w:val="center"/>
          </w:tcPr>
          <w:p>
            <w:r>
              <w:t>16218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0.75</w:t>
            </w:r>
          </w:p>
        </w:tc>
        <w:tc>
          <w:tcPr>
            <w:vAlign w:val="center"/>
          </w:tcPr>
          <w:p>
            <w:r>
              <w:t>43788</w:t>
            </w:r>
          </w:p>
        </w:tc>
        <w:tc>
          <w:tcPr>
            <w:vAlign w:val="center"/>
          </w:tcPr>
          <w:p>
            <w:r>
              <w:t>3.5</w:t>
            </w:r>
          </w:p>
        </w:tc>
        <w:tc>
          <w:tcPr>
            <w:vAlign w:val="center"/>
          </w:tcPr>
          <w:p>
            <w:r>
              <w:t>0.5</w:t>
            </w:r>
          </w:p>
        </w:tc>
        <w:tc>
          <w:tcPr>
            <w:vAlign w:val="center"/>
          </w:tcPr>
          <w:p>
            <w:r>
              <w:t>6255.5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22473</w:t>
            </w:r>
          </w:p>
        </w:tc>
        <w:tc>
          <w:tcPr>
            <w:vAlign w:val="center"/>
          </w:tcPr>
          <w:p>
            <w:r>
              <w:t>0.5703</w:t>
            </w:r>
          </w:p>
        </w:tc>
        <w:tc>
          <w:tcPr>
            <w:vAlign w:val="center"/>
          </w:tcPr>
          <w:p>
            <w:r>
              <w:t>12.817</w:t>
            </w:r>
          </w:p>
        </w:tc>
      </w:tr>
    </w:tbl>
    <w:p>
      <w:pPr>
        <w:pStyle w:val="2"/>
        <w:widowControl w:val="0"/>
        <w:jc w:val="both"/>
        <w:rPr>
          <w:color w:val="000000"/>
        </w:rPr>
      </w:pPr>
      <w:bookmarkStart w:id="68" w:name="_Toc10172"/>
      <w:r>
        <w:rPr>
          <w:color w:val="000000"/>
        </w:rPr>
        <w:t>电梯</w:t>
      </w:r>
      <w:bookmarkEnd w:id="68"/>
    </w:p>
    <w:p>
      <w:pPr>
        <w:pStyle w:val="4"/>
        <w:widowControl w:val="0"/>
        <w:jc w:val="both"/>
        <w:rPr>
          <w:color w:val="000000"/>
        </w:rPr>
      </w:pPr>
      <w:bookmarkStart w:id="69" w:name="_Toc7233"/>
      <w:r>
        <w:rPr>
          <w:color w:val="000000"/>
        </w:rPr>
        <w:t>直梯</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365</w:t>
            </w:r>
          </w:p>
        </w:tc>
        <w:tc>
          <w:tcPr>
            <w:vAlign w:val="center"/>
          </w:tcPr>
          <w:p>
            <w:r>
              <w:t>1</w:t>
            </w:r>
          </w:p>
        </w:tc>
        <w:tc>
          <w:tcPr>
            <w:vAlign w:val="center"/>
          </w:tcPr>
          <w:p>
            <w:r>
              <w:t>7510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7510</w:t>
            </w:r>
          </w:p>
        </w:tc>
      </w:tr>
    </w:tbl>
    <w:p>
      <w:pPr>
        <w:pStyle w:val="4"/>
        <w:widowControl w:val="0"/>
        <w:jc w:val="both"/>
        <w:rPr>
          <w:color w:val="000000"/>
        </w:rPr>
      </w:pPr>
      <w:bookmarkStart w:id="70" w:name="_Toc31829"/>
      <w:r>
        <w:rPr>
          <w:color w:val="000000"/>
        </w:rPr>
        <w:t>电梯碳排放</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电梯</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直梯1</w:t>
            </w:r>
          </w:p>
        </w:tc>
        <w:tc>
          <w:tcPr>
            <w:vAlign w:val="center"/>
          </w:tcPr>
          <w:p>
            <w:r>
              <w:t>7510</w:t>
            </w:r>
          </w:p>
        </w:tc>
        <w:tc>
          <w:tcPr>
            <w:vAlign w:val="center"/>
          </w:tcPr>
          <w:p>
            <w:r>
              <w:t>0.5703</w:t>
            </w:r>
          </w:p>
        </w:tc>
        <w:tc>
          <w:tcPr>
            <w:vAlign w:val="center"/>
          </w:tcPr>
          <w:p>
            <w:r>
              <w:t>4.283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4.283</w:t>
            </w:r>
          </w:p>
        </w:tc>
      </w:tr>
    </w:tbl>
    <w:p>
      <w:pPr>
        <w:pStyle w:val="2"/>
        <w:widowControl w:val="0"/>
        <w:jc w:val="both"/>
        <w:rPr>
          <w:color w:val="000000"/>
        </w:rPr>
      </w:pPr>
      <w:bookmarkStart w:id="71" w:name="_Toc7070"/>
      <w:r>
        <w:rPr>
          <w:color w:val="000000"/>
        </w:rPr>
        <w:t>光伏发电</w:t>
      </w:r>
      <w:bookmarkEnd w:id="71"/>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75.2928</w:t>
            </w:r>
          </w:p>
        </w:tc>
        <w:tc>
          <w:tcPr>
            <w:vAlign w:val="center"/>
          </w:tcPr>
          <w:p>
            <w:r>
              <w:t>15</w:t>
            </w:r>
          </w:p>
        </w:tc>
        <w:tc>
          <w:tcPr>
            <w:vAlign w:val="center"/>
          </w:tcPr>
          <w:p>
            <w:r>
              <w:t>82</w:t>
            </w:r>
          </w:p>
        </w:tc>
        <w:tc>
          <w:tcPr>
            <w:vAlign w:val="center"/>
          </w:tcPr>
          <w:p>
            <w:r>
              <w:t>0.85</w:t>
            </w:r>
          </w:p>
        </w:tc>
        <w:tc>
          <w:tcPr>
            <w:vAlign w:val="center"/>
          </w:tcPr>
          <w:p>
            <w:r>
              <w:t>13041</w:t>
            </w:r>
          </w:p>
        </w:tc>
        <w:tc>
          <w:tcPr>
            <w:vAlign w:val="center"/>
          </w:tcPr>
          <w:p>
            <w:r>
              <w:t>0.5703</w:t>
            </w:r>
          </w:p>
        </w:tc>
        <w:tc>
          <w:tcPr>
            <w:vAlign w:val="center"/>
          </w:tcPr>
          <w:p>
            <w:r>
              <w:t>7.437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7.437</w:t>
            </w:r>
          </w:p>
        </w:tc>
      </w:tr>
    </w:tbl>
    <w:p>
      <w:pPr>
        <w:pStyle w:val="2"/>
        <w:widowControl w:val="0"/>
        <w:jc w:val="both"/>
        <w:rPr>
          <w:color w:val="000000"/>
        </w:rPr>
      </w:pPr>
      <w:bookmarkStart w:id="72" w:name="_Toc21986"/>
      <w:r>
        <w:rPr>
          <w:color w:val="000000"/>
        </w:rPr>
        <w:t>计算结果</w:t>
      </w:r>
      <w:bookmarkEnd w:id="72"/>
    </w:p>
    <w:p>
      <w:pPr>
        <w:pStyle w:val="4"/>
        <w:widowControl w:val="0"/>
        <w:jc w:val="both"/>
        <w:rPr>
          <w:color w:val="000000"/>
        </w:rPr>
      </w:pPr>
      <w:bookmarkStart w:id="73" w:name="_Toc6826"/>
      <w:r>
        <w:rPr>
          <w:color w:val="000000"/>
        </w:rPr>
        <w:t>建材生产运输碳排放</w:t>
      </w:r>
      <w:bookmarkEnd w:id="73"/>
    </w:p>
    <w:p>
      <w:pPr>
        <w:pStyle w:val="5"/>
        <w:widowControl w:val="0"/>
        <w:jc w:val="both"/>
        <w:rPr>
          <w:color w:val="000000"/>
        </w:rPr>
      </w:pPr>
      <w:bookmarkStart w:id="74" w:name="_Toc32195"/>
      <w:r>
        <w:rPr>
          <w:color w:val="000000"/>
        </w:rPr>
        <w:t>建材生产阶段</w:t>
      </w:r>
      <w:bookmarkEnd w:id="7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432.05</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146.897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5.94</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13.900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17.28</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40.867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25.38</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18.654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2.16</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0.799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72.37</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r>
              <w:t>m3</w:t>
            </w:r>
          </w:p>
        </w:tc>
        <w:tc>
          <w:tcPr>
            <w:vAlign w:val="center"/>
          </w:tcPr>
          <w:p>
            <w:pPr>
              <w:jc w:val="right"/>
            </w:pPr>
            <w:r>
              <w:t>21.60</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14.450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r>
              <w:t>m3</w:t>
            </w:r>
          </w:p>
        </w:tc>
        <w:tc>
          <w:tcPr>
            <w:vAlign w:val="center"/>
          </w:tcPr>
          <w:p>
            <w:pPr>
              <w:jc w:val="right"/>
            </w:pPr>
            <w:r>
              <w:t>144.95</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47.399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190.64</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66.533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17.82</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5.988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r>
              <w:t>m2</w:t>
            </w:r>
          </w:p>
        </w:tc>
        <w:tc>
          <w:tcPr>
            <w:vAlign w:val="center"/>
          </w:tcPr>
          <w:p>
            <w:pPr>
              <w:jc w:val="right"/>
            </w:pPr>
            <w:r>
              <w:t>116.80</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15.126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7.56</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0.365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25.62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1.237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308.38</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6.013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2.16</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14.148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302.98</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28.510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810.10</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2.916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424.019</w:t>
            </w:r>
          </w:p>
        </w:tc>
      </w:tr>
    </w:tbl>
    <w:p>
      <w:pPr>
        <w:pStyle w:val="5"/>
        <w:widowControl w:val="0"/>
        <w:jc w:val="both"/>
        <w:rPr>
          <w:color w:val="000000"/>
        </w:rPr>
      </w:pPr>
      <w:bookmarkStart w:id="75" w:name="_Toc23450"/>
      <w:r>
        <w:rPr>
          <w:color w:val="000000"/>
        </w:rPr>
        <w:t>建材运输阶段</w:t>
      </w:r>
      <w:bookmarkEnd w:id="7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1019.65</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4.690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5.94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17.28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0.994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25.38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1.459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2.16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115.79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6.658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pPr>
              <w:jc w:val="right"/>
            </w:pPr>
            <w:r>
              <w:t>0.76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pPr>
              <w:jc w:val="right"/>
            </w:pPr>
            <w:r>
              <w:t>86.97</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190.64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10.962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25.84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pPr>
              <w:jc w:val="right"/>
            </w:pPr>
            <w:r>
              <w:t>2.34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0.23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0.77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9.25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2.16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0.30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0.81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27.957</w:t>
            </w:r>
          </w:p>
        </w:tc>
      </w:tr>
    </w:tbl>
    <w:p>
      <w:pPr>
        <w:pStyle w:val="4"/>
        <w:widowControl w:val="0"/>
        <w:jc w:val="both"/>
        <w:rPr>
          <w:color w:val="000000"/>
        </w:rPr>
      </w:pPr>
      <w:bookmarkStart w:id="76" w:name="_Toc6756"/>
      <w:r>
        <w:rPr>
          <w:color w:val="000000"/>
        </w:rPr>
        <w:t>建筑建造拆除碳排放</w:t>
      </w:r>
      <w:bookmarkEnd w:id="76"/>
    </w:p>
    <w:p>
      <w:pPr>
        <w:pStyle w:val="5"/>
        <w:widowControl w:val="0"/>
        <w:jc w:val="both"/>
        <w:rPr>
          <w:color w:val="000000"/>
        </w:rPr>
      </w:pPr>
      <w:bookmarkStart w:id="77" w:name="_Toc19458"/>
      <w:r>
        <w:rPr>
          <w:color w:val="000000"/>
        </w:rPr>
        <w:t>建筑建造</w:t>
      </w:r>
      <w:bookmarkEnd w:id="7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建材生产阶段(tCO2)</w:t>
            </w:r>
          </w:p>
        </w:tc>
        <w:tc>
          <w:tcPr>
            <w:shd w:val="clear" w:color="auto" w:fill="E6E6E6"/>
            <w:vAlign w:val="center"/>
          </w:tcPr>
          <w:p>
            <w:pPr>
              <w:jc w:val="center"/>
            </w:pPr>
            <w:r>
              <w:t>建造占建材生产阶段比例(%)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建造阶段</w:t>
            </w:r>
          </w:p>
        </w:tc>
        <w:tc>
          <w:tcPr>
            <w:vAlign w:val="center"/>
          </w:tcPr>
          <w:p>
            <w:r>
              <w:t>424.019</w:t>
            </w:r>
          </w:p>
        </w:tc>
        <w:tc>
          <w:tcPr>
            <w:vAlign w:val="center"/>
          </w:tcPr>
          <w:p>
            <w:r>
              <w:t>5</w:t>
            </w:r>
          </w:p>
        </w:tc>
        <w:tc>
          <w:tcPr>
            <w:vAlign w:val="center"/>
          </w:tcPr>
          <w:p>
            <w:r>
              <w:t>21.201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施工临时设施</w:t>
            </w:r>
          </w:p>
        </w:tc>
        <w:tc>
          <w:tcPr>
            <w:gridSpan w:val="2"/>
            <w:shd w:val="clear" w:color="auto" w:fill="E6E6E6"/>
            <w:vAlign w:val="center"/>
          </w:tcPr>
          <w:p>
            <w:r>
              <w:t>碳排放占施工机械碳排放的比例(%)：5</w:t>
            </w:r>
          </w:p>
        </w:tc>
        <w:tc>
          <w:tcPr>
            <w:vAlign w:val="center"/>
          </w:tcPr>
          <w:p>
            <w:r>
              <w:t>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22.261</w:t>
            </w:r>
          </w:p>
        </w:tc>
      </w:tr>
    </w:tbl>
    <w:p>
      <w:pPr>
        <w:pStyle w:val="5"/>
      </w:pPr>
      <w:bookmarkStart w:id="78" w:name="_Toc18530"/>
      <w:r>
        <w:t>建筑拆除</w:t>
      </w:r>
      <w:bookmarkEnd w:id="7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建筑建造阶段(tCO2)</w:t>
            </w:r>
          </w:p>
        </w:tc>
        <w:tc>
          <w:tcPr>
            <w:shd w:val="clear" w:color="auto" w:fill="E6E6E6"/>
            <w:vAlign w:val="center"/>
          </w:tcPr>
          <w:p>
            <w:pPr>
              <w:jc w:val="center"/>
            </w:pPr>
            <w:r>
              <w:t>拆除排放占建造阶段比例(%)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拆除阶段</w:t>
            </w:r>
          </w:p>
        </w:tc>
        <w:tc>
          <w:tcPr>
            <w:vAlign w:val="center"/>
          </w:tcPr>
          <w:p>
            <w:r>
              <w:t>22.261</w:t>
            </w:r>
          </w:p>
        </w:tc>
        <w:tc>
          <w:tcPr>
            <w:vAlign w:val="center"/>
          </w:tcPr>
          <w:p>
            <w:r>
              <w:t>10</w:t>
            </w:r>
          </w:p>
        </w:tc>
        <w:tc>
          <w:tcPr>
            <w:vAlign w:val="center"/>
          </w:tcPr>
          <w:p>
            <w:r>
              <w:t>2.226</w:t>
            </w:r>
          </w:p>
        </w:tc>
      </w:tr>
    </w:tbl>
    <w:p>
      <w:pPr>
        <w:pStyle w:val="4"/>
        <w:widowControl w:val="0"/>
        <w:jc w:val="both"/>
        <w:rPr>
          <w:color w:val="000000"/>
        </w:rPr>
      </w:pPr>
      <w:bookmarkStart w:id="79" w:name="_Toc19977"/>
      <w:r>
        <w:rPr>
          <w:color w:val="000000"/>
        </w:rPr>
        <w:t>碳汇</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大小乔木、灌木、花草密植混种区（乔木平均种植间距&lt;3.0m，土壤深度&gt;1.0m）</w:t>
            </w:r>
          </w:p>
        </w:tc>
        <w:tc>
          <w:tcPr>
            <w:vAlign w:val="center"/>
          </w:tcPr>
          <w:p>
            <w:r>
              <w:t>27.5</w:t>
            </w:r>
          </w:p>
        </w:tc>
        <w:tc>
          <w:tcPr>
            <w:vAlign w:val="center"/>
          </w:tcPr>
          <w:p>
            <w:r>
              <w:t>131</w:t>
            </w:r>
          </w:p>
        </w:tc>
        <w:tc>
          <w:tcPr>
            <w:vMerge w:val="restart"/>
            <w:vAlign w:val="center"/>
          </w:tcPr>
          <w:p>
            <w:r>
              <w:t>50</w:t>
            </w:r>
          </w:p>
        </w:tc>
        <w:tc>
          <w:tcPr>
            <w:vAlign w:val="center"/>
          </w:tcPr>
          <w:p>
            <w:r>
              <w:t>180.125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65</w:t>
            </w:r>
          </w:p>
        </w:tc>
        <w:tc>
          <w:tcPr>
            <w:vMerge w:val="continue"/>
            <w:vAlign w:val="center"/>
          </w:tcPr>
          <w:p/>
        </w:tc>
        <w:tc>
          <w:tcPr>
            <w:vAlign w:val="center"/>
          </w:tcPr>
          <w:p>
            <w:r>
              <w:t>73.125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落叶大乔木（土壤深度&gt;1.0m）</w:t>
            </w:r>
          </w:p>
        </w:tc>
        <w:tc>
          <w:tcPr>
            <w:vAlign w:val="center"/>
          </w:tcPr>
          <w:p>
            <w:r>
              <w:t>20.2</w:t>
            </w:r>
          </w:p>
        </w:tc>
        <w:tc>
          <w:tcPr>
            <w:vAlign w:val="center"/>
          </w:tcPr>
          <w:p>
            <w:r>
              <w:t>65</w:t>
            </w:r>
          </w:p>
        </w:tc>
        <w:tc>
          <w:tcPr>
            <w:vMerge w:val="continue"/>
            <w:vAlign w:val="center"/>
          </w:tcPr>
          <w:p/>
        </w:tc>
        <w:tc>
          <w:tcPr>
            <w:vAlign w:val="center"/>
          </w:tcPr>
          <w:p>
            <w:r>
              <w:t>65.650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落叶小乔木、针叶木或疏叶性乔木（土壤深度&gt;1.0m）</w:t>
            </w:r>
          </w:p>
        </w:tc>
        <w:tc>
          <w:tcPr>
            <w:vAlign w:val="center"/>
          </w:tcPr>
          <w:p>
            <w:r>
              <w:t>14.3</w:t>
            </w:r>
          </w:p>
        </w:tc>
        <w:tc>
          <w:tcPr>
            <w:vAlign w:val="center"/>
          </w:tcPr>
          <w:p>
            <w:r>
              <w:t>131</w:t>
            </w:r>
          </w:p>
        </w:tc>
        <w:tc>
          <w:tcPr>
            <w:vMerge w:val="continue"/>
            <w:vAlign w:val="center"/>
          </w:tcPr>
          <w:p/>
        </w:tc>
        <w:tc>
          <w:tcPr>
            <w:vAlign w:val="center"/>
          </w:tcPr>
          <w:p>
            <w:r>
              <w:t>93.665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阔叶大乔木</w:t>
            </w:r>
          </w:p>
        </w:tc>
        <w:tc>
          <w:tcPr>
            <w:vAlign w:val="center"/>
          </w:tcPr>
          <w:p>
            <w:r>
              <w:t>22.5</w:t>
            </w:r>
          </w:p>
        </w:tc>
        <w:tc>
          <w:tcPr>
            <w:vAlign w:val="center"/>
          </w:tcPr>
          <w:p>
            <w:r>
              <w:t>65</w:t>
            </w:r>
          </w:p>
        </w:tc>
        <w:tc>
          <w:tcPr>
            <w:vMerge w:val="continue"/>
            <w:vAlign w:val="center"/>
          </w:tcPr>
          <w:p/>
        </w:tc>
        <w:tc>
          <w:tcPr>
            <w:vAlign w:val="center"/>
          </w:tcPr>
          <w:p>
            <w:r>
              <w:t>73.125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65</w:t>
            </w:r>
          </w:p>
        </w:tc>
        <w:tc>
          <w:tcPr>
            <w:vMerge w:val="continue"/>
            <w:vAlign w:val="center"/>
          </w:tcPr>
          <w:p/>
        </w:tc>
        <w:tc>
          <w:tcPr>
            <w:vAlign w:val="center"/>
          </w:tcPr>
          <w:p>
            <w:r>
              <w:t>48.750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65</w:t>
            </w:r>
          </w:p>
        </w:tc>
        <w:tc>
          <w:tcPr>
            <w:vMerge w:val="continue"/>
            <w:vAlign w:val="center"/>
          </w:tcPr>
          <w:p/>
        </w:tc>
        <w:tc>
          <w:tcPr>
            <w:vAlign w:val="center"/>
          </w:tcPr>
          <w:p>
            <w:r>
              <w:t>33.313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棕榈类</w:t>
            </w:r>
          </w:p>
        </w:tc>
        <w:tc>
          <w:tcPr>
            <w:vAlign w:val="center"/>
          </w:tcPr>
          <w:p>
            <w:r>
              <w:t>10</w:t>
            </w:r>
          </w:p>
        </w:tc>
        <w:tc>
          <w:tcPr>
            <w:vAlign w:val="center"/>
          </w:tcPr>
          <w:p>
            <w:r>
              <w:t>65</w:t>
            </w:r>
          </w:p>
        </w:tc>
        <w:tc>
          <w:tcPr>
            <w:vMerge w:val="continue"/>
            <w:vAlign w:val="center"/>
          </w:tcPr>
          <w:p/>
        </w:tc>
        <w:tc>
          <w:tcPr>
            <w:vAlign w:val="center"/>
          </w:tcPr>
          <w:p>
            <w:r>
              <w:t>32.500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131</w:t>
            </w:r>
          </w:p>
        </w:tc>
        <w:tc>
          <w:tcPr>
            <w:vMerge w:val="continue"/>
            <w:vAlign w:val="center"/>
          </w:tcPr>
          <w:p/>
        </w:tc>
        <w:tc>
          <w:tcPr>
            <w:vAlign w:val="center"/>
          </w:tcPr>
          <w:p>
            <w:r>
              <w:t>71.723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密植灌木丛（高约0.9m，土壤深度&gt;0.5m）</w:t>
            </w:r>
          </w:p>
        </w:tc>
        <w:tc>
          <w:tcPr>
            <w:vAlign w:val="center"/>
          </w:tcPr>
          <w:p>
            <w:r>
              <w:t>8.15</w:t>
            </w:r>
          </w:p>
        </w:tc>
        <w:tc>
          <w:tcPr>
            <w:vAlign w:val="center"/>
          </w:tcPr>
          <w:p>
            <w:r>
              <w:t>131</w:t>
            </w:r>
          </w:p>
        </w:tc>
        <w:tc>
          <w:tcPr>
            <w:vMerge w:val="continue"/>
            <w:vAlign w:val="center"/>
          </w:tcPr>
          <w:p/>
        </w:tc>
        <w:tc>
          <w:tcPr>
            <w:vAlign w:val="center"/>
          </w:tcPr>
          <w:p>
            <w:r>
              <w:t>53.383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131</w:t>
            </w:r>
          </w:p>
        </w:tc>
        <w:tc>
          <w:tcPr>
            <w:vMerge w:val="continue"/>
            <w:vAlign w:val="center"/>
          </w:tcPr>
          <w:p/>
        </w:tc>
        <w:tc>
          <w:tcPr>
            <w:vAlign w:val="center"/>
          </w:tcPr>
          <w:p>
            <w:r>
              <w:t>33.602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多年生蔓藤（以立体攀附面积计算，土壤深度&gt;0.5m）</w:t>
            </w:r>
          </w:p>
        </w:tc>
        <w:tc>
          <w:tcPr>
            <w:vAlign w:val="center"/>
          </w:tcPr>
          <w:p>
            <w:r>
              <w:t>2.58</w:t>
            </w:r>
          </w:p>
        </w:tc>
        <w:tc>
          <w:tcPr>
            <w:vAlign w:val="center"/>
          </w:tcPr>
          <w:p>
            <w:r>
              <w:t>65</w:t>
            </w:r>
          </w:p>
        </w:tc>
        <w:tc>
          <w:tcPr>
            <w:vMerge w:val="continue"/>
            <w:vAlign w:val="center"/>
          </w:tcPr>
          <w:p/>
        </w:tc>
        <w:tc>
          <w:tcPr>
            <w:vAlign w:val="center"/>
          </w:tcPr>
          <w:p>
            <w:r>
              <w:t>8.385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高草花花圃或高茎野草地（高约1.0m，土壤深度&gt;0.3m）</w:t>
            </w:r>
          </w:p>
        </w:tc>
        <w:tc>
          <w:tcPr>
            <w:vAlign w:val="center"/>
          </w:tcPr>
          <w:p>
            <w:r>
              <w:t>1.15</w:t>
            </w:r>
          </w:p>
        </w:tc>
        <w:tc>
          <w:tcPr>
            <w:vAlign w:val="center"/>
          </w:tcPr>
          <w:p>
            <w:r>
              <w:t>65</w:t>
            </w:r>
          </w:p>
        </w:tc>
        <w:tc>
          <w:tcPr>
            <w:vMerge w:val="continue"/>
            <w:vAlign w:val="center"/>
          </w:tcPr>
          <w:p/>
        </w:tc>
        <w:tc>
          <w:tcPr>
            <w:vAlign w:val="center"/>
          </w:tcPr>
          <w:p>
            <w:r>
              <w:t>3.738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一年生蔓藤、低草花花圃或低茎野草地（高约0.25m，土壤深度&gt;0.3m）</w:t>
            </w:r>
          </w:p>
        </w:tc>
        <w:tc>
          <w:tcPr>
            <w:vAlign w:val="center"/>
          </w:tcPr>
          <w:p>
            <w:r>
              <w:t>0.34</w:t>
            </w:r>
          </w:p>
        </w:tc>
        <w:tc>
          <w:tcPr>
            <w:vAlign w:val="center"/>
          </w:tcPr>
          <w:p>
            <w:r>
              <w:t>65</w:t>
            </w:r>
          </w:p>
        </w:tc>
        <w:tc>
          <w:tcPr>
            <w:vMerge w:val="continue"/>
            <w:vAlign w:val="center"/>
          </w:tcPr>
          <w:p/>
        </w:tc>
        <w:tc>
          <w:tcPr>
            <w:vAlign w:val="center"/>
          </w:tcPr>
          <w:p>
            <w:r>
              <w:t>1.105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131</w:t>
            </w:r>
          </w:p>
        </w:tc>
        <w:tc>
          <w:tcPr>
            <w:vMerge w:val="continue"/>
            <w:vAlign w:val="center"/>
          </w:tcPr>
          <w:p/>
        </w:tc>
        <w:tc>
          <w:tcPr>
            <w:vAlign w:val="center"/>
          </w:tcPr>
          <w:p>
            <w:r>
              <w:t>3.275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775.464</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0" w:name="_Toc370"/>
      <w:r>
        <w:rPr>
          <w:color w:val="000000"/>
        </w:rPr>
        <w:t>建筑运行碳排放</w:t>
      </w:r>
      <w:bookmarkEnd w:id="8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239.870</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778.80</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778.80</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0.000</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247.29</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76.165</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247.29</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688.49</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212.054</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1771.54</w:t>
            </w:r>
            <w:bookmarkEnd w:id="26"/>
          </w:p>
        </w:tc>
        <w:tc>
          <w:tcPr>
            <w:tcW w:w="1701" w:type="dxa"/>
            <w:vAlign w:val="center"/>
          </w:tcPr>
          <w:p>
            <w:pPr>
              <w:ind w:firstLine="0" w:firstLineChars="0"/>
              <w:jc w:val="center"/>
              <w:rPr>
                <w:lang w:val="en-US"/>
              </w:rPr>
            </w:pPr>
            <w:r>
              <w:rPr>
                <w:rFonts w:hint="eastAsia"/>
                <w:lang w:val="en-US"/>
              </w:rPr>
              <w:t>0.5703</w:t>
            </w:r>
            <w:bookmarkEnd w:id="27"/>
          </w:p>
        </w:tc>
        <w:tc>
          <w:tcPr>
            <w:tcW w:w="1570" w:type="dxa"/>
          </w:tcPr>
          <w:p>
            <w:pPr>
              <w:ind w:firstLine="0" w:firstLineChars="0"/>
              <w:jc w:val="center"/>
              <w:rPr>
                <w:lang w:val="en-US"/>
              </w:rPr>
            </w:pPr>
            <w:r>
              <w:rPr>
                <w:rFonts w:hint="eastAsia"/>
                <w:lang w:val="en-US"/>
              </w:rPr>
              <w:t>545.634</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1473.469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2703.37</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2080.62</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0.00</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4783.99</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1" w:name="化石燃料类别"/>
            <w:r>
              <w:rPr>
                <w:rFonts w:hint="eastAsia"/>
                <w:lang w:val="en-US"/>
              </w:rPr>
              <w:t>化石</w:t>
            </w:r>
            <w:r>
              <w:rPr>
                <w:lang w:val="en-US"/>
              </w:rPr>
              <w:t>燃料</w:t>
            </w:r>
            <w:bookmarkEnd w:id="81"/>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2" w:name="炊事能耗_燃料类型"/>
            <w:r>
              <w:rPr>
                <w:rFonts w:hint="eastAsia"/>
                <w:lang w:val="en-US"/>
              </w:rPr>
              <w:t>燃气</w:t>
            </w:r>
            <w:bookmarkEnd w:id="82"/>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shd w:val="clear" w:color="auto" w:fill="FFFFFF"/>
            <w:vAlign w:val="center"/>
          </w:tcPr>
          <w:p>
            <w:pPr>
              <w:ind w:firstLine="0" w:firstLineChars="0"/>
              <w:jc w:val="center"/>
              <w:rPr>
                <w:lang w:val="en-US"/>
              </w:rPr>
            </w:pPr>
            <w:bookmarkStart w:id="83" w:name="炊事燃气消耗"/>
            <w:r>
              <w:rPr>
                <w:rFonts w:hint="eastAsia"/>
                <w:lang w:val="en-US"/>
              </w:rPr>
              <w:t>0.00</w:t>
            </w:r>
            <w:bookmarkEnd w:id="83"/>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84" w:name="炊事能耗_燃料CO2排放因子"/>
            <w:r>
              <w:t>55.54</w:t>
            </w:r>
            <w:bookmarkEnd w:id="84"/>
          </w:p>
        </w:tc>
        <w:tc>
          <w:tcPr>
            <w:tcW w:w="1570" w:type="dxa"/>
            <w:shd w:val="clear" w:color="auto" w:fill="FFFFFF"/>
            <w:vAlign w:val="center"/>
          </w:tcPr>
          <w:p>
            <w:pPr>
              <w:ind w:firstLine="0" w:firstLineChars="0"/>
              <w:jc w:val="center"/>
              <w:rPr>
                <w:lang w:val="en-US"/>
              </w:rPr>
            </w:pPr>
            <w:bookmarkStart w:id="85" w:name="炊事碳排放"/>
            <w:r>
              <w:t>0.000</w:t>
            </w:r>
            <w:bookmarkEnd w:id="8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6" w:name="制冷剂消耗量"/>
            <w:r>
              <w:t>0</w:t>
            </w:r>
            <w:bookmarkEnd w:id="86"/>
          </w:p>
        </w:tc>
        <w:tc>
          <w:tcPr>
            <w:tcW w:w="1570" w:type="dxa"/>
            <w:shd w:val="clear" w:color="auto" w:fill="FFFFFF"/>
            <w:vAlign w:val="center"/>
          </w:tcPr>
          <w:p>
            <w:pPr>
              <w:ind w:firstLine="0" w:firstLineChars="0"/>
              <w:jc w:val="center"/>
              <w:rPr>
                <w:lang w:val="en-US"/>
              </w:rPr>
            </w:pPr>
            <w:bookmarkStart w:id="87" w:name="制冷剂碳排放"/>
            <w:r>
              <w:t>0.000</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8" w:name="光伏能耗"/>
            <w:r>
              <w:rPr>
                <w:rFonts w:hint="eastAsia"/>
                <w:lang w:val="en-US"/>
              </w:rPr>
              <w:t>1207.38</w:t>
            </w:r>
            <w:bookmarkEnd w:id="88"/>
          </w:p>
        </w:tc>
        <w:tc>
          <w:tcPr>
            <w:tcW w:w="1701" w:type="dxa"/>
            <w:vMerge w:val="restart"/>
            <w:vAlign w:val="center"/>
          </w:tcPr>
          <w:p>
            <w:pPr>
              <w:ind w:firstLine="0" w:firstLineChars="0"/>
              <w:jc w:val="center"/>
              <w:rPr>
                <w:lang w:val="en-US"/>
              </w:rPr>
            </w:pPr>
            <w:bookmarkStart w:id="89" w:name="电力CO2排放因子7"/>
            <w:r>
              <w:t>0.5703</w:t>
            </w:r>
            <w:bookmarkEnd w:id="89"/>
          </w:p>
        </w:tc>
        <w:tc>
          <w:tcPr>
            <w:tcW w:w="1570" w:type="dxa"/>
          </w:tcPr>
          <w:p>
            <w:pPr>
              <w:ind w:firstLine="0" w:firstLineChars="0"/>
              <w:jc w:val="center"/>
              <w:rPr>
                <w:lang w:val="en-US"/>
              </w:rPr>
            </w:pPr>
            <w:bookmarkStart w:id="90" w:name="光伏能耗_电耗CO2排放"/>
            <w:r>
              <w:t>371.872</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1" w:name="风力能耗"/>
            <w:r>
              <w:rPr>
                <w:rFonts w:hint="eastAsia"/>
                <w:lang w:val="en-US"/>
              </w:rPr>
              <w:t>0.00</w:t>
            </w:r>
            <w:bookmarkEnd w:id="91"/>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2" w:name="风力能耗_电耗CO2排放"/>
            <w:r>
              <w:t>0.000</w:t>
            </w:r>
            <w:bookmarkEnd w:id="9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3" w:name="设计建筑碳汇"/>
            <w:r>
              <w:t>775.464</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4" w:name="建筑总碳排放"/>
            <w:r>
              <w:t>1399.320</w:t>
            </w:r>
            <w:bookmarkEnd w:id="94"/>
          </w:p>
        </w:tc>
        <w:bookmarkStart w:id="95" w:name="建筑总碳排放平米"/>
        <w:bookmarkEnd w:id="95"/>
      </w:tr>
    </w:tbl>
    <w:p/>
    <w:p>
      <w:pPr>
        <w:widowControl w:val="0"/>
        <w:jc w:val="both"/>
        <w:rPr>
          <w:color w:val="000000"/>
        </w:rPr>
      </w:pPr>
    </w:p>
    <w:p>
      <w:pPr>
        <w:pStyle w:val="4"/>
        <w:widowControl w:val="0"/>
        <w:jc w:val="both"/>
        <w:rPr>
          <w:color w:val="000000"/>
        </w:rPr>
      </w:pPr>
      <w:bookmarkStart w:id="96" w:name="_Toc15369"/>
      <w:r>
        <w:rPr>
          <w:color w:val="000000"/>
        </w:rPr>
        <w:t>全生命周期碳排放</w:t>
      </w:r>
      <w:bookmarkEnd w:id="96"/>
    </w:p>
    <w:p>
      <w:pPr>
        <w:pStyle w:val="5"/>
        <w:widowControl w:val="0"/>
        <w:jc w:val="both"/>
        <w:rPr>
          <w:color w:val="000000"/>
        </w:rPr>
      </w:pPr>
      <w:bookmarkStart w:id="97" w:name="_Toc26625"/>
      <w:r>
        <w:rPr>
          <w:color w:val="000000"/>
        </w:rPr>
        <w:t>碳排放强度</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15.70</w:t>
            </w:r>
          </w:p>
        </w:tc>
        <w:tc>
          <w:tcPr>
            <w:vAlign w:val="center"/>
          </w:tcPr>
          <w:p>
            <w:r>
              <w:t>785.12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1.04</w:t>
            </w:r>
          </w:p>
        </w:tc>
        <w:tc>
          <w:tcPr>
            <w:vAlign w:val="center"/>
          </w:tcPr>
          <w:p>
            <w:r>
              <w:t>51.77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0.83</w:t>
            </w:r>
          </w:p>
        </w:tc>
        <w:tc>
          <w:tcPr>
            <w:vAlign w:val="center"/>
          </w:tcPr>
          <w:p>
            <w:r>
              <w:t>41.22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4.12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51.82</w:t>
            </w:r>
          </w:p>
        </w:tc>
        <w:tc>
          <w:tcPr>
            <w:vAlign w:val="center"/>
          </w:tcPr>
          <w:p>
            <w:r>
              <w:t>2591.01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69.47</w:t>
            </w:r>
          </w:p>
        </w:tc>
        <w:tc>
          <w:tcPr>
            <w:vAlign w:val="center"/>
          </w:tcPr>
          <w:p>
            <w:r>
              <w:t>3473.24</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8" w:name="_Toc592"/>
      <w:r>
        <w:rPr>
          <w:color w:val="000000"/>
        </w:rPr>
        <w:t>总碳排放量</w:t>
      </w:r>
      <w:bookmarkEnd w:id="9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8.480</w:t>
            </w:r>
          </w:p>
        </w:tc>
        <w:tc>
          <w:tcPr>
            <w:vAlign w:val="center"/>
          </w:tcPr>
          <w:p>
            <w:r>
              <w:t>424.019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0.559</w:t>
            </w:r>
          </w:p>
        </w:tc>
        <w:tc>
          <w:tcPr>
            <w:vAlign w:val="center"/>
          </w:tcPr>
          <w:p>
            <w:r>
              <w:t>27.957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0.445</w:t>
            </w:r>
          </w:p>
        </w:tc>
        <w:tc>
          <w:tcPr>
            <w:vAlign w:val="center"/>
          </w:tcPr>
          <w:p>
            <w:r>
              <w:t>22.261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0.045</w:t>
            </w:r>
          </w:p>
        </w:tc>
        <w:tc>
          <w:tcPr>
            <w:vAlign w:val="center"/>
          </w:tcPr>
          <w:p>
            <w:r>
              <w:t>2.226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27.986</w:t>
            </w:r>
          </w:p>
        </w:tc>
        <w:tc>
          <w:tcPr>
            <w:vAlign w:val="center"/>
          </w:tcPr>
          <w:p>
            <w:r>
              <w:t>1399.320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37.515</w:t>
            </w:r>
          </w:p>
        </w:tc>
        <w:tc>
          <w:tcPr>
            <w:vAlign w:val="center"/>
          </w:tcPr>
          <w:p>
            <w:r>
              <w:t>1875.783</w:t>
            </w:r>
          </w:p>
        </w:tc>
      </w:tr>
    </w:tbl>
    <w:p>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9" w:name="_Toc1133"/>
      <w:r>
        <w:rPr>
          <w:color w:val="000000"/>
        </w:rPr>
        <w:t>附录</w:t>
      </w:r>
      <w:bookmarkEnd w:id="99"/>
    </w:p>
    <w:p>
      <w:pPr>
        <w:pStyle w:val="4"/>
        <w:widowControl w:val="0"/>
        <w:jc w:val="both"/>
        <w:rPr>
          <w:color w:val="000000"/>
        </w:rPr>
      </w:pPr>
      <w:bookmarkStart w:id="100" w:name="_Toc18408"/>
      <w:r>
        <w:rPr>
          <w:color w:val="000000"/>
        </w:rPr>
        <w:t>工作日/节假日人员逐时在室率(%)</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1" w:name="_Toc10547"/>
      <w:r>
        <w:t>工作日/节假日照明开关时间表(%)</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2" w:name="_Toc9863"/>
      <w:r>
        <w:t>工作日/节假日设备逐时使用率(%)</w:t>
      </w:r>
      <w:bookmarkEnd w:id="10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3" w:name="_Toc7581"/>
      <w:r>
        <w:t>工作日/节假日空调系统运行时间表(1:开,0:关)</w:t>
      </w:r>
      <w:bookmarkEnd w:id="10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13079"/>
      <w:r>
        <w:t>工作日/节假日新风运行时间表(%)</w:t>
      </w:r>
      <w:bookmarkEnd w:id="10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D59E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7AD59E1"/>
    <w:rsid w:val="6DEA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21</Pages>
  <Words>5769</Words>
  <Characters>9028</Characters>
  <Lines>24</Lines>
  <Paragraphs>7</Paragraphs>
  <TotalTime>0</TotalTime>
  <ScaleCrop>false</ScaleCrop>
  <LinksUpToDate>false</LinksUpToDate>
  <CharactersWithSpaces>9175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2025-12-20T15:53:00Z</dcterms:created>
  <dc:creator>树叶世界</dc:creator>
  <cp:lastModifiedBy>树叶世界</cp:lastModifiedBy>
  <dcterms:modified xsi:type="dcterms:W3CDTF">2025-12-30T11:33:41Z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