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D87E8">
      <w:pPr>
        <w:pStyle w:val="53"/>
      </w:pPr>
      <w:bookmarkStart w:id="172" w:name="_GoBack"/>
      <w:bookmarkEnd w:id="172"/>
    </w:p>
    <w:p w14:paraId="1C8B1793">
      <w:pPr>
        <w:pStyle w:val="53"/>
      </w:pPr>
    </w:p>
    <w:p w14:paraId="52425A72">
      <w:pPr>
        <w:pStyle w:val="53"/>
        <w:jc w:val="distribute"/>
        <w:rPr>
          <w:b/>
          <w:sz w:val="72"/>
          <w:szCs w:val="72"/>
        </w:rPr>
      </w:pPr>
      <w:r>
        <w:rPr>
          <w:rFonts w:hint="eastAsia"/>
          <w:b/>
          <w:sz w:val="72"/>
          <w:szCs w:val="72"/>
        </w:rPr>
        <w:t>室外风环境模拟分析报告</w:t>
      </w:r>
    </w:p>
    <w:p w14:paraId="1517832A">
      <w:pPr>
        <w:pStyle w:val="57"/>
        <w:spacing w:line="400" w:lineRule="exact"/>
      </w:pPr>
    </w:p>
    <w:p w14:paraId="392FA7AA">
      <w:pPr>
        <w:pStyle w:val="57"/>
        <w:rPr>
          <w:b/>
        </w:rPr>
      </w:pPr>
      <w:bookmarkStart w:id="0" w:name="项目名称"/>
    </w:p>
    <w:p w14:paraId="0423555E">
      <w:pPr>
        <w:pStyle w:val="57"/>
        <w:rPr>
          <w:b/>
        </w:rPr>
      </w:pPr>
      <w:r>
        <w:rPr>
          <w:rFonts w:hint="eastAsia"/>
          <w:b/>
        </w:rPr>
        <w:t>设计编号：</w:t>
      </w:r>
      <w:bookmarkStart w:id="1" w:name="设计编号"/>
    </w:p>
    <w:p w14:paraId="19C3BA91">
      <w:pPr>
        <w:pStyle w:val="57"/>
        <w:rPr>
          <w:b/>
        </w:rPr>
      </w:pPr>
    </w:p>
    <w:p w14:paraId="4B927BCE">
      <w:pPr>
        <w:pStyle w:val="53"/>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514FAA79">
      <w:pPr>
        <w:pStyle w:val="53"/>
        <w:jc w:val="center"/>
      </w:pPr>
    </w:p>
    <w:p w14:paraId="6B235BEB">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807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7D8C12">
            <w:pPr>
              <w:pStyle w:val="53"/>
              <w:spacing w:line="240" w:lineRule="auto"/>
              <w:jc w:val="distribute"/>
            </w:pPr>
            <w:r>
              <w:rPr>
                <w:rFonts w:hint="eastAsia"/>
              </w:rPr>
              <w:t>工程地点</w:t>
            </w:r>
          </w:p>
        </w:tc>
        <w:tc>
          <w:tcPr>
            <w:tcW w:w="475" w:type="dxa"/>
            <w:vAlign w:val="center"/>
          </w:tcPr>
          <w:p w14:paraId="01E17A38">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19619467">
            <w:pPr>
              <w:pStyle w:val="53"/>
              <w:spacing w:line="240" w:lineRule="auto"/>
              <w:jc w:val="center"/>
            </w:pPr>
            <w:bookmarkStart w:id="3" w:name="工程地点"/>
            <w:bookmarkStart w:id="4" w:name="项目地点"/>
            <w:r>
              <w:t>长春</w:t>
            </w:r>
          </w:p>
        </w:tc>
      </w:tr>
      <w:tr w14:paraId="261C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631EF0">
            <w:pPr>
              <w:pStyle w:val="53"/>
              <w:spacing w:line="240" w:lineRule="auto"/>
              <w:jc w:val="distribute"/>
            </w:pPr>
            <w:r>
              <w:rPr>
                <w:rFonts w:hint="eastAsia"/>
              </w:rPr>
              <w:t>建设单位</w:t>
            </w:r>
          </w:p>
        </w:tc>
        <w:tc>
          <w:tcPr>
            <w:tcW w:w="475" w:type="dxa"/>
            <w:vAlign w:val="center"/>
          </w:tcPr>
          <w:p w14:paraId="0574B6C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C62E222">
            <w:pPr>
              <w:pStyle w:val="53"/>
              <w:spacing w:line="240" w:lineRule="auto"/>
              <w:jc w:val="center"/>
            </w:pPr>
            <w:bookmarkStart w:id="5" w:name="建设单位"/>
          </w:p>
        </w:tc>
      </w:tr>
      <w:tr w14:paraId="34AD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D26431">
            <w:pPr>
              <w:pStyle w:val="53"/>
              <w:spacing w:line="240" w:lineRule="auto"/>
              <w:jc w:val="distribute"/>
            </w:pPr>
            <w:r>
              <w:rPr>
                <w:rFonts w:hint="eastAsia"/>
              </w:rPr>
              <w:t>设计单位</w:t>
            </w:r>
          </w:p>
        </w:tc>
        <w:tc>
          <w:tcPr>
            <w:tcW w:w="475" w:type="dxa"/>
            <w:vAlign w:val="center"/>
          </w:tcPr>
          <w:p w14:paraId="4BC9902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349E6D5">
            <w:pPr>
              <w:pStyle w:val="53"/>
              <w:spacing w:line="240" w:lineRule="auto"/>
              <w:jc w:val="center"/>
            </w:pPr>
            <w:bookmarkStart w:id="6" w:name="设计单位"/>
          </w:p>
        </w:tc>
      </w:tr>
      <w:tr w14:paraId="3FE4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76AC8E">
            <w:pPr>
              <w:pStyle w:val="53"/>
              <w:spacing w:line="240" w:lineRule="auto"/>
              <w:jc w:val="distribute"/>
            </w:pPr>
            <w:r>
              <w:rPr>
                <w:rFonts w:hint="eastAsia"/>
              </w:rPr>
              <w:t>设计人</w:t>
            </w:r>
          </w:p>
        </w:tc>
        <w:tc>
          <w:tcPr>
            <w:tcW w:w="475" w:type="dxa"/>
            <w:vAlign w:val="center"/>
          </w:tcPr>
          <w:p w14:paraId="3C020EF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BC590B7">
            <w:pPr>
              <w:pStyle w:val="53"/>
              <w:spacing w:line="240" w:lineRule="auto"/>
              <w:jc w:val="center"/>
            </w:pPr>
          </w:p>
        </w:tc>
      </w:tr>
      <w:tr w14:paraId="0FE1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9A396C">
            <w:pPr>
              <w:pStyle w:val="53"/>
              <w:spacing w:line="240" w:lineRule="auto"/>
              <w:jc w:val="distribute"/>
            </w:pPr>
            <w:r>
              <w:rPr>
                <w:rFonts w:hint="eastAsia"/>
              </w:rPr>
              <w:t>校对人</w:t>
            </w:r>
          </w:p>
        </w:tc>
        <w:tc>
          <w:tcPr>
            <w:tcW w:w="475" w:type="dxa"/>
            <w:vAlign w:val="center"/>
          </w:tcPr>
          <w:p w14:paraId="52A193E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27E11AF">
            <w:pPr>
              <w:pStyle w:val="53"/>
              <w:spacing w:line="240" w:lineRule="auto"/>
              <w:jc w:val="center"/>
            </w:pPr>
          </w:p>
        </w:tc>
      </w:tr>
      <w:tr w14:paraId="02E2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091E17">
            <w:pPr>
              <w:pStyle w:val="53"/>
              <w:spacing w:line="240" w:lineRule="auto"/>
              <w:jc w:val="distribute"/>
            </w:pPr>
            <w:r>
              <w:rPr>
                <w:rFonts w:hint="eastAsia"/>
              </w:rPr>
              <w:t>审定人</w:t>
            </w:r>
          </w:p>
        </w:tc>
        <w:tc>
          <w:tcPr>
            <w:tcW w:w="475" w:type="dxa"/>
            <w:vAlign w:val="center"/>
          </w:tcPr>
          <w:p w14:paraId="0A201ED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6EF4A08">
            <w:pPr>
              <w:pStyle w:val="53"/>
              <w:spacing w:line="240" w:lineRule="auto"/>
              <w:jc w:val="center"/>
            </w:pPr>
          </w:p>
        </w:tc>
      </w:tr>
      <w:tr w14:paraId="154C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9EA2FF">
            <w:pPr>
              <w:pStyle w:val="53"/>
              <w:spacing w:line="240" w:lineRule="auto"/>
              <w:jc w:val="distribute"/>
            </w:pPr>
            <w:r>
              <w:rPr>
                <w:rFonts w:hint="eastAsia"/>
              </w:rPr>
              <w:t>报告日期</w:t>
            </w:r>
          </w:p>
        </w:tc>
        <w:tc>
          <w:tcPr>
            <w:tcW w:w="475" w:type="dxa"/>
            <w:vAlign w:val="center"/>
          </w:tcPr>
          <w:p w14:paraId="05F36A75">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2757C6B">
            <w:pPr>
              <w:pStyle w:val="53"/>
              <w:spacing w:line="240" w:lineRule="auto"/>
              <w:jc w:val="center"/>
            </w:pPr>
            <w:bookmarkStart w:id="7" w:name="报告日期"/>
            <w:r>
              <w:t>2025年12月20日</w:t>
            </w:r>
          </w:p>
        </w:tc>
      </w:tr>
    </w:tbl>
    <w:p w14:paraId="667F3D59"/>
    <w:p w14:paraId="1ADB5ECD">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E6DC8F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669B302">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B674B97">
            <w:pPr>
              <w:pStyle w:val="55"/>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66343B02">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CCE2F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AEC189">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3D332C72">
            <w:pPr>
              <w:pStyle w:val="55"/>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01BAECA6">
            <w:pPr>
              <w:spacing w:line="360" w:lineRule="exact"/>
              <w:ind w:firstLine="360"/>
              <w:rPr>
                <w:sz w:val="18"/>
                <w:szCs w:val="18"/>
              </w:rPr>
            </w:pPr>
          </w:p>
        </w:tc>
      </w:tr>
      <w:tr w14:paraId="201C87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12D3D5">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2A63AAEC">
            <w:pPr>
              <w:pStyle w:val="55"/>
              <w:rPr>
                <w:szCs w:val="18"/>
              </w:rPr>
            </w:pPr>
            <w:r>
              <w:rPr>
                <w:rFonts w:hint="eastAsia"/>
                <w:szCs w:val="18"/>
              </w:rPr>
              <w:t xml:space="preserve">: </w:t>
            </w:r>
            <w:bookmarkStart w:id="10"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23B8D4BD">
            <w:pPr>
              <w:spacing w:line="360" w:lineRule="exact"/>
              <w:ind w:firstLine="360"/>
              <w:rPr>
                <w:sz w:val="18"/>
                <w:szCs w:val="18"/>
              </w:rPr>
            </w:pPr>
          </w:p>
        </w:tc>
      </w:tr>
      <w:tr w14:paraId="0FA4628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3BD48F">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329E8404">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3C1A887">
            <w:pPr>
              <w:spacing w:line="360" w:lineRule="exact"/>
              <w:ind w:firstLine="360"/>
              <w:rPr>
                <w:sz w:val="18"/>
                <w:szCs w:val="18"/>
              </w:rPr>
            </w:pPr>
          </w:p>
        </w:tc>
      </w:tr>
    </w:tbl>
    <w:p w14:paraId="1029D6B7">
      <w:pPr>
        <w:jc w:val="center"/>
        <w:rPr>
          <w:b/>
          <w:bCs/>
          <w:sz w:val="32"/>
          <w:szCs w:val="32"/>
        </w:rPr>
      </w:pPr>
      <w:r>
        <w:rPr>
          <w:b/>
          <w:bCs/>
          <w:sz w:val="28"/>
          <w:szCs w:val="32"/>
        </w:rPr>
        <w:br w:type="page"/>
      </w:r>
      <w:r>
        <w:rPr>
          <w:rFonts w:hint="eastAsia"/>
          <w:b/>
          <w:bCs/>
          <w:sz w:val="28"/>
          <w:szCs w:val="32"/>
        </w:rPr>
        <w:t>目  录</w:t>
      </w:r>
    </w:p>
    <w:p w14:paraId="335A101E">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_Toc12991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_Toc12991 \h </w:instrText>
      </w:r>
      <w:r>
        <w:fldChar w:fldCharType="separate"/>
      </w:r>
      <w:r>
        <w:t>3</w:t>
      </w:r>
      <w:r>
        <w:fldChar w:fldCharType="end"/>
      </w:r>
      <w:r>
        <w:rPr>
          <w:rFonts w:ascii="微软雅黑" w:hAnsi="微软雅黑"/>
          <w:caps/>
        </w:rPr>
        <w:fldChar w:fldCharType="end"/>
      </w:r>
    </w:p>
    <w:p w14:paraId="1F9C8A36">
      <w:pPr>
        <w:pStyle w:val="25"/>
        <w:tabs>
          <w:tab w:val="right" w:leader="dot" w:pos="8306"/>
        </w:tabs>
      </w:pPr>
      <w:r>
        <w:rPr>
          <w:rFonts w:ascii="微软雅黑" w:hAnsi="微软雅黑"/>
          <w:caps/>
        </w:rPr>
        <w:fldChar w:fldCharType="begin"/>
      </w:r>
      <w:r>
        <w:rPr>
          <w:rFonts w:ascii="微软雅黑" w:hAnsi="微软雅黑"/>
          <w:caps/>
        </w:rPr>
        <w:instrText xml:space="preserve"> HYPERLINK \l _Toc30707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_Toc30707 \h </w:instrText>
      </w:r>
      <w:r>
        <w:fldChar w:fldCharType="separate"/>
      </w:r>
      <w:r>
        <w:t>3</w:t>
      </w:r>
      <w:r>
        <w:fldChar w:fldCharType="end"/>
      </w:r>
      <w:r>
        <w:rPr>
          <w:rFonts w:ascii="微软雅黑" w:hAnsi="微软雅黑"/>
          <w:caps/>
        </w:rPr>
        <w:fldChar w:fldCharType="end"/>
      </w:r>
    </w:p>
    <w:p w14:paraId="3D867E91">
      <w:pPr>
        <w:pStyle w:val="25"/>
        <w:tabs>
          <w:tab w:val="right" w:leader="dot" w:pos="8306"/>
        </w:tabs>
      </w:pPr>
      <w:r>
        <w:rPr>
          <w:rFonts w:ascii="微软雅黑" w:hAnsi="微软雅黑"/>
          <w:caps/>
        </w:rPr>
        <w:fldChar w:fldCharType="begin"/>
      </w:r>
      <w:r>
        <w:rPr>
          <w:rFonts w:ascii="微软雅黑" w:hAnsi="微软雅黑"/>
          <w:caps/>
        </w:rPr>
        <w:instrText xml:space="preserve"> HYPERLINK \l _Toc31331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_Toc31331 \h </w:instrText>
      </w:r>
      <w:r>
        <w:fldChar w:fldCharType="separate"/>
      </w:r>
      <w:r>
        <w:t>3</w:t>
      </w:r>
      <w:r>
        <w:fldChar w:fldCharType="end"/>
      </w:r>
      <w:r>
        <w:rPr>
          <w:rFonts w:ascii="微软雅黑" w:hAnsi="微软雅黑"/>
          <w:caps/>
        </w:rPr>
        <w:fldChar w:fldCharType="end"/>
      </w:r>
    </w:p>
    <w:p w14:paraId="5B29A530">
      <w:pPr>
        <w:pStyle w:val="22"/>
        <w:tabs>
          <w:tab w:val="right" w:leader="dot" w:pos="8306"/>
        </w:tabs>
      </w:pPr>
      <w:r>
        <w:rPr>
          <w:rFonts w:ascii="微软雅黑" w:hAnsi="微软雅黑"/>
          <w:caps/>
        </w:rPr>
        <w:fldChar w:fldCharType="begin"/>
      </w:r>
      <w:r>
        <w:rPr>
          <w:rFonts w:ascii="微软雅黑" w:hAnsi="微软雅黑"/>
          <w:caps/>
        </w:rPr>
        <w:instrText xml:space="preserve"> HYPERLINK \l _Toc6170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_Toc6170 \h </w:instrText>
      </w:r>
      <w:r>
        <w:fldChar w:fldCharType="separate"/>
      </w:r>
      <w:r>
        <w:t>4</w:t>
      </w:r>
      <w:r>
        <w:fldChar w:fldCharType="end"/>
      </w:r>
      <w:r>
        <w:rPr>
          <w:rFonts w:ascii="微软雅黑" w:hAnsi="微软雅黑"/>
          <w:caps/>
        </w:rPr>
        <w:fldChar w:fldCharType="end"/>
      </w:r>
    </w:p>
    <w:p w14:paraId="160F19BF">
      <w:pPr>
        <w:pStyle w:val="22"/>
        <w:tabs>
          <w:tab w:val="right" w:leader="dot" w:pos="8306"/>
        </w:tabs>
      </w:pPr>
      <w:r>
        <w:rPr>
          <w:rFonts w:ascii="微软雅黑" w:hAnsi="微软雅黑"/>
          <w:caps/>
        </w:rPr>
        <w:fldChar w:fldCharType="begin"/>
      </w:r>
      <w:r>
        <w:rPr>
          <w:rFonts w:ascii="微软雅黑" w:hAnsi="微软雅黑"/>
          <w:caps/>
        </w:rPr>
        <w:instrText xml:space="preserve"> HYPERLINK \l _Toc15947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_Toc15947 \h </w:instrText>
      </w:r>
      <w:r>
        <w:fldChar w:fldCharType="separate"/>
      </w:r>
      <w:r>
        <w:t>4</w:t>
      </w:r>
      <w:r>
        <w:fldChar w:fldCharType="end"/>
      </w:r>
      <w:r>
        <w:rPr>
          <w:rFonts w:ascii="微软雅黑" w:hAnsi="微软雅黑"/>
          <w:caps/>
        </w:rPr>
        <w:fldChar w:fldCharType="end"/>
      </w:r>
    </w:p>
    <w:p w14:paraId="71D5740F">
      <w:pPr>
        <w:pStyle w:val="22"/>
        <w:tabs>
          <w:tab w:val="right" w:leader="dot" w:pos="8306"/>
        </w:tabs>
      </w:pPr>
      <w:r>
        <w:rPr>
          <w:rFonts w:ascii="微软雅黑" w:hAnsi="微软雅黑"/>
          <w:caps/>
        </w:rPr>
        <w:fldChar w:fldCharType="begin"/>
      </w:r>
      <w:r>
        <w:rPr>
          <w:rFonts w:ascii="微软雅黑" w:hAnsi="微软雅黑"/>
          <w:caps/>
        </w:rPr>
        <w:instrText xml:space="preserve"> HYPERLINK \l _Toc17002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_Toc17002 \h </w:instrText>
      </w:r>
      <w:r>
        <w:fldChar w:fldCharType="separate"/>
      </w:r>
      <w:r>
        <w:t>5</w:t>
      </w:r>
      <w:r>
        <w:fldChar w:fldCharType="end"/>
      </w:r>
      <w:r>
        <w:rPr>
          <w:rFonts w:ascii="微软雅黑" w:hAnsi="微软雅黑"/>
          <w:caps/>
        </w:rPr>
        <w:fldChar w:fldCharType="end"/>
      </w:r>
    </w:p>
    <w:p w14:paraId="585C5A67">
      <w:pPr>
        <w:pStyle w:val="25"/>
        <w:tabs>
          <w:tab w:val="right" w:leader="dot" w:pos="8306"/>
        </w:tabs>
      </w:pPr>
      <w:r>
        <w:rPr>
          <w:rFonts w:ascii="微软雅黑" w:hAnsi="微软雅黑"/>
          <w:caps/>
        </w:rPr>
        <w:fldChar w:fldCharType="begin"/>
      </w:r>
      <w:r>
        <w:rPr>
          <w:rFonts w:ascii="微软雅黑" w:hAnsi="微软雅黑"/>
          <w:caps/>
        </w:rPr>
        <w:instrText xml:space="preserve"> HYPERLINK \l _Toc13292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_Toc13292 \h </w:instrText>
      </w:r>
      <w:r>
        <w:fldChar w:fldCharType="separate"/>
      </w:r>
      <w:r>
        <w:t>5</w:t>
      </w:r>
      <w:r>
        <w:fldChar w:fldCharType="end"/>
      </w:r>
      <w:r>
        <w:rPr>
          <w:rFonts w:ascii="微软雅黑" w:hAnsi="微软雅黑"/>
          <w:caps/>
        </w:rPr>
        <w:fldChar w:fldCharType="end"/>
      </w:r>
    </w:p>
    <w:p w14:paraId="33F7FC05">
      <w:pPr>
        <w:pStyle w:val="25"/>
        <w:tabs>
          <w:tab w:val="right" w:leader="dot" w:pos="8306"/>
        </w:tabs>
      </w:pPr>
      <w:r>
        <w:rPr>
          <w:rFonts w:ascii="微软雅黑" w:hAnsi="微软雅黑"/>
          <w:caps/>
        </w:rPr>
        <w:fldChar w:fldCharType="begin"/>
      </w:r>
      <w:r>
        <w:rPr>
          <w:rFonts w:ascii="微软雅黑" w:hAnsi="微软雅黑"/>
          <w:caps/>
        </w:rPr>
        <w:instrText xml:space="preserve"> HYPERLINK \l _Toc32755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_Toc32755 \h </w:instrText>
      </w:r>
      <w:r>
        <w:fldChar w:fldCharType="separate"/>
      </w:r>
      <w:r>
        <w:t>7</w:t>
      </w:r>
      <w:r>
        <w:fldChar w:fldCharType="end"/>
      </w:r>
      <w:r>
        <w:rPr>
          <w:rFonts w:ascii="微软雅黑" w:hAnsi="微软雅黑"/>
          <w:caps/>
        </w:rPr>
        <w:fldChar w:fldCharType="end"/>
      </w:r>
    </w:p>
    <w:p w14:paraId="6C77C7D5">
      <w:pPr>
        <w:pStyle w:val="25"/>
        <w:tabs>
          <w:tab w:val="right" w:leader="dot" w:pos="8306"/>
        </w:tabs>
      </w:pPr>
      <w:r>
        <w:rPr>
          <w:rFonts w:ascii="微软雅黑" w:hAnsi="微软雅黑"/>
          <w:caps/>
        </w:rPr>
        <w:fldChar w:fldCharType="begin"/>
      </w:r>
      <w:r>
        <w:rPr>
          <w:rFonts w:ascii="微软雅黑" w:hAnsi="微软雅黑"/>
          <w:caps/>
        </w:rPr>
        <w:instrText xml:space="preserve"> HYPERLINK \l _Toc11173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_Toc11173 \h </w:instrText>
      </w:r>
      <w:r>
        <w:fldChar w:fldCharType="separate"/>
      </w:r>
      <w:r>
        <w:t>10</w:t>
      </w:r>
      <w:r>
        <w:fldChar w:fldCharType="end"/>
      </w:r>
      <w:r>
        <w:rPr>
          <w:rFonts w:ascii="微软雅黑" w:hAnsi="微软雅黑"/>
          <w:caps/>
        </w:rPr>
        <w:fldChar w:fldCharType="end"/>
      </w:r>
    </w:p>
    <w:p w14:paraId="18FCE03D">
      <w:pPr>
        <w:pStyle w:val="25"/>
        <w:tabs>
          <w:tab w:val="right" w:leader="dot" w:pos="8306"/>
        </w:tabs>
      </w:pPr>
      <w:r>
        <w:rPr>
          <w:rFonts w:ascii="微软雅黑" w:hAnsi="微软雅黑"/>
          <w:caps/>
        </w:rPr>
        <w:fldChar w:fldCharType="begin"/>
      </w:r>
      <w:r>
        <w:rPr>
          <w:rFonts w:ascii="微软雅黑" w:hAnsi="微软雅黑"/>
          <w:caps/>
        </w:rPr>
        <w:instrText xml:space="preserve"> HYPERLINK \l _Toc25834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_Toc25834 \h </w:instrText>
      </w:r>
      <w:r>
        <w:fldChar w:fldCharType="separate"/>
      </w:r>
      <w:r>
        <w:t>11</w:t>
      </w:r>
      <w:r>
        <w:fldChar w:fldCharType="end"/>
      </w:r>
      <w:r>
        <w:rPr>
          <w:rFonts w:ascii="微软雅黑" w:hAnsi="微软雅黑"/>
          <w:caps/>
        </w:rPr>
        <w:fldChar w:fldCharType="end"/>
      </w:r>
    </w:p>
    <w:p w14:paraId="0C340023">
      <w:pPr>
        <w:pStyle w:val="25"/>
        <w:tabs>
          <w:tab w:val="right" w:leader="dot" w:pos="8306"/>
        </w:tabs>
      </w:pPr>
      <w:r>
        <w:rPr>
          <w:rFonts w:ascii="微软雅黑" w:hAnsi="微软雅黑"/>
          <w:caps/>
        </w:rPr>
        <w:fldChar w:fldCharType="begin"/>
      </w:r>
      <w:r>
        <w:rPr>
          <w:rFonts w:ascii="微软雅黑" w:hAnsi="微软雅黑"/>
          <w:caps/>
        </w:rPr>
        <w:instrText xml:space="preserve"> HYPERLINK \l _Toc253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_Toc253 \h </w:instrText>
      </w:r>
      <w:r>
        <w:fldChar w:fldCharType="separate"/>
      </w:r>
      <w:r>
        <w:t>12</w:t>
      </w:r>
      <w:r>
        <w:fldChar w:fldCharType="end"/>
      </w:r>
      <w:r>
        <w:rPr>
          <w:rFonts w:ascii="微软雅黑" w:hAnsi="微软雅黑"/>
          <w:caps/>
        </w:rPr>
        <w:fldChar w:fldCharType="end"/>
      </w:r>
    </w:p>
    <w:p w14:paraId="5C90377E">
      <w:pPr>
        <w:pStyle w:val="25"/>
        <w:tabs>
          <w:tab w:val="right" w:leader="dot" w:pos="8306"/>
        </w:tabs>
      </w:pPr>
      <w:r>
        <w:rPr>
          <w:rFonts w:ascii="微软雅黑" w:hAnsi="微软雅黑"/>
          <w:caps/>
        </w:rPr>
        <w:fldChar w:fldCharType="begin"/>
      </w:r>
      <w:r>
        <w:rPr>
          <w:rFonts w:ascii="微软雅黑" w:hAnsi="微软雅黑"/>
          <w:caps/>
        </w:rPr>
        <w:instrText xml:space="preserve"> HYPERLINK \l _Toc7762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_Toc7762 \h </w:instrText>
      </w:r>
      <w:r>
        <w:fldChar w:fldCharType="separate"/>
      </w:r>
      <w:r>
        <w:t>13</w:t>
      </w:r>
      <w:r>
        <w:fldChar w:fldCharType="end"/>
      </w:r>
      <w:r>
        <w:rPr>
          <w:rFonts w:ascii="微软雅黑" w:hAnsi="微软雅黑"/>
          <w:caps/>
        </w:rPr>
        <w:fldChar w:fldCharType="end"/>
      </w:r>
    </w:p>
    <w:p w14:paraId="53B3F97E">
      <w:pPr>
        <w:pStyle w:val="22"/>
        <w:tabs>
          <w:tab w:val="right" w:leader="dot" w:pos="8306"/>
        </w:tabs>
      </w:pPr>
      <w:r>
        <w:rPr>
          <w:rFonts w:ascii="微软雅黑" w:hAnsi="微软雅黑"/>
          <w:caps/>
        </w:rPr>
        <w:fldChar w:fldCharType="begin"/>
      </w:r>
      <w:r>
        <w:rPr>
          <w:rFonts w:ascii="微软雅黑" w:hAnsi="微软雅黑"/>
          <w:caps/>
        </w:rPr>
        <w:instrText xml:space="preserve"> HYPERLINK \l _Toc22039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_Toc22039 \h </w:instrText>
      </w:r>
      <w:r>
        <w:fldChar w:fldCharType="separate"/>
      </w:r>
      <w:r>
        <w:t>13</w:t>
      </w:r>
      <w:r>
        <w:fldChar w:fldCharType="end"/>
      </w:r>
      <w:r>
        <w:rPr>
          <w:rFonts w:ascii="微软雅黑" w:hAnsi="微软雅黑"/>
          <w:caps/>
        </w:rPr>
        <w:fldChar w:fldCharType="end"/>
      </w:r>
    </w:p>
    <w:p w14:paraId="7D94FA06">
      <w:pPr>
        <w:pStyle w:val="25"/>
        <w:tabs>
          <w:tab w:val="right" w:leader="dot" w:pos="8306"/>
        </w:tabs>
      </w:pPr>
      <w:r>
        <w:rPr>
          <w:rFonts w:ascii="微软雅黑" w:hAnsi="微软雅黑"/>
          <w:caps/>
        </w:rPr>
        <w:fldChar w:fldCharType="begin"/>
      </w:r>
      <w:r>
        <w:rPr>
          <w:rFonts w:ascii="微软雅黑" w:hAnsi="微软雅黑"/>
          <w:caps/>
        </w:rPr>
        <w:instrText xml:space="preserve"> HYPERLINK \l _Toc4650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_Toc4650 \h </w:instrText>
      </w:r>
      <w:r>
        <w:fldChar w:fldCharType="separate"/>
      </w:r>
      <w:r>
        <w:t>13</w:t>
      </w:r>
      <w:r>
        <w:fldChar w:fldCharType="end"/>
      </w:r>
      <w:r>
        <w:rPr>
          <w:rFonts w:ascii="微软雅黑" w:hAnsi="微软雅黑"/>
          <w:caps/>
        </w:rPr>
        <w:fldChar w:fldCharType="end"/>
      </w:r>
    </w:p>
    <w:p w14:paraId="14890343">
      <w:pPr>
        <w:pStyle w:val="25"/>
        <w:tabs>
          <w:tab w:val="right" w:leader="dot" w:pos="8306"/>
        </w:tabs>
      </w:pPr>
      <w:r>
        <w:rPr>
          <w:rFonts w:ascii="微软雅黑" w:hAnsi="微软雅黑"/>
          <w:caps/>
        </w:rPr>
        <w:fldChar w:fldCharType="begin"/>
      </w:r>
      <w:r>
        <w:rPr>
          <w:rFonts w:ascii="微软雅黑" w:hAnsi="微软雅黑"/>
          <w:caps/>
        </w:rPr>
        <w:instrText xml:space="preserve"> HYPERLINK \l _Toc15292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_Toc15292 \h </w:instrText>
      </w:r>
      <w:r>
        <w:fldChar w:fldCharType="separate"/>
      </w:r>
      <w:r>
        <w:t>14</w:t>
      </w:r>
      <w:r>
        <w:fldChar w:fldCharType="end"/>
      </w:r>
      <w:r>
        <w:rPr>
          <w:rFonts w:ascii="微软雅黑" w:hAnsi="微软雅黑"/>
          <w:caps/>
        </w:rPr>
        <w:fldChar w:fldCharType="end"/>
      </w:r>
    </w:p>
    <w:p w14:paraId="67135288">
      <w:pPr>
        <w:pStyle w:val="25"/>
        <w:tabs>
          <w:tab w:val="right" w:leader="dot" w:pos="8306"/>
        </w:tabs>
      </w:pPr>
      <w:r>
        <w:rPr>
          <w:rFonts w:ascii="微软雅黑" w:hAnsi="微软雅黑"/>
          <w:caps/>
        </w:rPr>
        <w:fldChar w:fldCharType="begin"/>
      </w:r>
      <w:r>
        <w:rPr>
          <w:rFonts w:ascii="微软雅黑" w:hAnsi="微软雅黑"/>
          <w:caps/>
        </w:rPr>
        <w:instrText xml:space="preserve"> HYPERLINK \l _Toc19922 </w:instrText>
      </w:r>
      <w:r>
        <w:rPr>
          <w:rFonts w:ascii="微软雅黑" w:hAnsi="微软雅黑"/>
          <w:caps/>
        </w:rP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_Toc19922 \h </w:instrText>
      </w:r>
      <w:r>
        <w:fldChar w:fldCharType="separate"/>
      </w:r>
      <w:r>
        <w:t>20</w:t>
      </w:r>
      <w:r>
        <w:fldChar w:fldCharType="end"/>
      </w:r>
      <w:r>
        <w:rPr>
          <w:rFonts w:ascii="微软雅黑" w:hAnsi="微软雅黑"/>
          <w:caps/>
        </w:rPr>
        <w:fldChar w:fldCharType="end"/>
      </w:r>
    </w:p>
    <w:p w14:paraId="7F7DAF75">
      <w:pPr>
        <w:pStyle w:val="22"/>
        <w:tabs>
          <w:tab w:val="right" w:leader="dot" w:pos="8306"/>
        </w:tabs>
      </w:pPr>
      <w:r>
        <w:rPr>
          <w:rFonts w:ascii="微软雅黑" w:hAnsi="微软雅黑"/>
          <w:caps/>
        </w:rPr>
        <w:fldChar w:fldCharType="begin"/>
      </w:r>
      <w:r>
        <w:rPr>
          <w:rFonts w:ascii="微软雅黑" w:hAnsi="微软雅黑"/>
          <w:caps/>
        </w:rPr>
        <w:instrText xml:space="preserve"> HYPERLINK \l _Toc12958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_Toc12958 \h </w:instrText>
      </w:r>
      <w:r>
        <w:fldChar w:fldCharType="separate"/>
      </w:r>
      <w:r>
        <w:t>23</w:t>
      </w:r>
      <w:r>
        <w:fldChar w:fldCharType="end"/>
      </w:r>
      <w:r>
        <w:rPr>
          <w:rFonts w:ascii="微软雅黑" w:hAnsi="微软雅黑"/>
          <w:caps/>
        </w:rPr>
        <w:fldChar w:fldCharType="end"/>
      </w:r>
    </w:p>
    <w:p w14:paraId="53FE57BF">
      <w:pPr>
        <w:pStyle w:val="25"/>
        <w:tabs>
          <w:tab w:val="right" w:leader="dot" w:pos="8306"/>
        </w:tabs>
      </w:pPr>
      <w:r>
        <w:rPr>
          <w:rFonts w:ascii="微软雅黑" w:hAnsi="微软雅黑"/>
          <w:caps/>
        </w:rPr>
        <w:fldChar w:fldCharType="begin"/>
      </w:r>
      <w:r>
        <w:rPr>
          <w:rFonts w:ascii="微软雅黑" w:hAnsi="微软雅黑"/>
          <w:caps/>
        </w:rPr>
        <w:instrText xml:space="preserve"> HYPERLINK \l _Toc7358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_Toc7358 \h </w:instrText>
      </w:r>
      <w:r>
        <w:fldChar w:fldCharType="separate"/>
      </w:r>
      <w:r>
        <w:t>23</w:t>
      </w:r>
      <w:r>
        <w:fldChar w:fldCharType="end"/>
      </w:r>
      <w:r>
        <w:rPr>
          <w:rFonts w:ascii="微软雅黑" w:hAnsi="微软雅黑"/>
          <w:caps/>
        </w:rPr>
        <w:fldChar w:fldCharType="end"/>
      </w:r>
    </w:p>
    <w:p w14:paraId="4DA6F70C">
      <w:pPr>
        <w:pStyle w:val="25"/>
        <w:tabs>
          <w:tab w:val="right" w:leader="dot" w:pos="8306"/>
        </w:tabs>
      </w:pPr>
      <w:r>
        <w:rPr>
          <w:rFonts w:ascii="微软雅黑" w:hAnsi="微软雅黑"/>
          <w:caps/>
        </w:rPr>
        <w:fldChar w:fldCharType="begin"/>
      </w:r>
      <w:r>
        <w:rPr>
          <w:rFonts w:ascii="微软雅黑" w:hAnsi="微软雅黑"/>
          <w:caps/>
        </w:rPr>
        <w:instrText xml:space="preserve"> HYPERLINK \l _Toc6082 </w:instrText>
      </w:r>
      <w:r>
        <w:rPr>
          <w:rFonts w:ascii="微软雅黑" w:hAnsi="微软雅黑"/>
          <w:caps/>
        </w:rP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_Toc6082 \h </w:instrText>
      </w:r>
      <w:r>
        <w:fldChar w:fldCharType="separate"/>
      </w:r>
      <w:r>
        <w:t>23</w:t>
      </w:r>
      <w:r>
        <w:fldChar w:fldCharType="end"/>
      </w:r>
      <w:r>
        <w:rPr>
          <w:rFonts w:ascii="微软雅黑" w:hAnsi="微软雅黑"/>
          <w:caps/>
        </w:rPr>
        <w:fldChar w:fldCharType="end"/>
      </w:r>
    </w:p>
    <w:p w14:paraId="4552B55C">
      <w:pPr>
        <w:pStyle w:val="22"/>
        <w:tabs>
          <w:tab w:val="right" w:leader="dot" w:pos="8306"/>
        </w:tabs>
      </w:pPr>
      <w:r>
        <w:rPr>
          <w:rFonts w:ascii="微软雅黑" w:hAnsi="微软雅黑"/>
          <w:caps/>
        </w:rPr>
        <w:fldChar w:fldCharType="begin"/>
      </w:r>
      <w:r>
        <w:rPr>
          <w:rFonts w:ascii="微软雅黑" w:hAnsi="微软雅黑"/>
          <w:caps/>
        </w:rPr>
        <w:instrText xml:space="preserve"> HYPERLINK \l _Toc12730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_Toc12730 \h </w:instrText>
      </w:r>
      <w:r>
        <w:fldChar w:fldCharType="separate"/>
      </w:r>
      <w:r>
        <w:t>24</w:t>
      </w:r>
      <w:r>
        <w:fldChar w:fldCharType="end"/>
      </w:r>
      <w:r>
        <w:rPr>
          <w:rFonts w:ascii="微软雅黑" w:hAnsi="微软雅黑"/>
          <w:caps/>
        </w:rPr>
        <w:fldChar w:fldCharType="end"/>
      </w:r>
    </w:p>
    <w:p w14:paraId="5B1AED44">
      <w:pPr>
        <w:pStyle w:val="25"/>
        <w:tabs>
          <w:tab w:val="right" w:leader="dot" w:pos="8306"/>
        </w:tabs>
      </w:pPr>
      <w:r>
        <w:rPr>
          <w:rFonts w:ascii="微软雅黑" w:hAnsi="微软雅黑"/>
          <w:caps/>
        </w:rPr>
        <w:fldChar w:fldCharType="begin"/>
      </w:r>
      <w:r>
        <w:rPr>
          <w:rFonts w:ascii="微软雅黑" w:hAnsi="微软雅黑"/>
          <w:caps/>
        </w:rPr>
        <w:instrText xml:space="preserve"> HYPERLINK \l _Toc23862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_Toc23862 \h </w:instrText>
      </w:r>
      <w:r>
        <w:fldChar w:fldCharType="separate"/>
      </w:r>
      <w:r>
        <w:t>24</w:t>
      </w:r>
      <w:r>
        <w:fldChar w:fldCharType="end"/>
      </w:r>
      <w:r>
        <w:rPr>
          <w:rFonts w:ascii="微软雅黑" w:hAnsi="微软雅黑"/>
          <w:caps/>
        </w:rPr>
        <w:fldChar w:fldCharType="end"/>
      </w:r>
    </w:p>
    <w:p w14:paraId="625DD6F5">
      <w:pPr>
        <w:pStyle w:val="25"/>
        <w:tabs>
          <w:tab w:val="right" w:leader="dot" w:pos="8306"/>
        </w:tabs>
      </w:pPr>
      <w:r>
        <w:rPr>
          <w:rFonts w:ascii="微软雅黑" w:hAnsi="微软雅黑"/>
          <w:caps/>
        </w:rPr>
        <w:fldChar w:fldCharType="begin"/>
      </w:r>
      <w:r>
        <w:rPr>
          <w:rFonts w:ascii="微软雅黑" w:hAnsi="微软雅黑"/>
          <w:caps/>
        </w:rPr>
        <w:instrText xml:space="preserve"> HYPERLINK \l _Toc24390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_Toc24390 \h </w:instrText>
      </w:r>
      <w:r>
        <w:fldChar w:fldCharType="separate"/>
      </w:r>
      <w:r>
        <w:t>24</w:t>
      </w:r>
      <w:r>
        <w:fldChar w:fldCharType="end"/>
      </w:r>
      <w:r>
        <w:rPr>
          <w:rFonts w:ascii="微软雅黑" w:hAnsi="微软雅黑"/>
          <w:caps/>
        </w:rPr>
        <w:fldChar w:fldCharType="end"/>
      </w:r>
    </w:p>
    <w:p w14:paraId="5B2AE23E">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57B18021">
      <w:pPr>
        <w:pStyle w:val="2"/>
      </w:pPr>
      <w:bookmarkStart w:id="12" w:name="_Toc452108759"/>
      <w:bookmarkStart w:id="13" w:name="_Toc12991"/>
      <w:r>
        <w:rPr>
          <w:rFonts w:hint="eastAsia"/>
        </w:rPr>
        <w:t>项目概况</w:t>
      </w:r>
      <w:bookmarkEnd w:id="12"/>
      <w:bookmarkEnd w:id="13"/>
    </w:p>
    <w:p w14:paraId="7482F5BF">
      <w:pPr>
        <w:pStyle w:val="3"/>
        <w:ind w:firstLine="420"/>
        <w:rPr>
          <w:rFonts w:ascii="微软雅黑" w:hAnsi="微软雅黑" w:eastAsia="微软雅黑"/>
          <w:lang w:val="en-US"/>
        </w:rPr>
      </w:pPr>
      <w:bookmarkStart w:id="14" w:name="项目概况"/>
    </w:p>
    <w:p w14:paraId="1D239870">
      <w:pPr>
        <w:pStyle w:val="4"/>
      </w:pPr>
      <w:bookmarkStart w:id="15" w:name="_Toc452108760"/>
      <w:bookmarkStart w:id="16" w:name="_Toc30707"/>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A7B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6AD9754">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2E4E10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740F84D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3D86FCA">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1685EA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3ED44C4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F45E37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4BA3936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5F3A47F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17DC020">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13ED120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4158477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6AF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BD3F814">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BB39A9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1F11FF7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DB5A52F">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E241FE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12F259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83EA6BD">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47499F7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25016F8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FC66B7A">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0FBB7B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1FBB429A">
      <w:pPr>
        <w:pStyle w:val="3"/>
        <w:ind w:firstLine="0" w:firstLineChars="0"/>
        <w:jc w:val="center"/>
        <w:rPr>
          <w:rFonts w:ascii="微软雅黑" w:hAnsi="微软雅黑" w:eastAsia="微软雅黑"/>
          <w:lang w:val="en-US"/>
        </w:rPr>
      </w:pPr>
    </w:p>
    <w:p w14:paraId="1FD7D03B">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67100"/>
                    </a:xfrm>
                    <a:prstGeom prst="rect">
                      <a:avLst/>
                    </a:prstGeom>
                  </pic:spPr>
                </pic:pic>
              </a:graphicData>
            </a:graphic>
          </wp:inline>
        </w:drawing>
      </w:r>
    </w:p>
    <w:p w14:paraId="3FB8E3F8">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76B855AD">
      <w:pPr>
        <w:pStyle w:val="3"/>
        <w:ind w:firstLine="420"/>
        <w:rPr>
          <w:rFonts w:ascii="微软雅黑" w:hAnsi="微软雅黑" w:eastAsia="微软雅黑"/>
          <w:lang w:val="en-US"/>
        </w:rPr>
      </w:pPr>
    </w:p>
    <w:p w14:paraId="43F802AC">
      <w:pPr>
        <w:pStyle w:val="4"/>
      </w:pPr>
      <w:bookmarkStart w:id="18" w:name="_Toc452108761"/>
      <w:bookmarkStart w:id="19" w:name="_Toc31331"/>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6E0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77E2C7A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2BF7F3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18771BD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EE6D8B8">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9E280B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47E8191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38C7D8B">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E3DFEE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B53CFF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476FBEB">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CDE54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299CECB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11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7A38C51D">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0C04E7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D07A99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A013B77">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0972F4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306DF0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4573CC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A69D97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0294AE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A28B8BF">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14FF55F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2EF0F583">
      <w:pPr>
        <w:pStyle w:val="3"/>
        <w:ind w:firstLine="0" w:firstLineChars="0"/>
        <w:jc w:val="center"/>
        <w:rPr>
          <w:rFonts w:ascii="微软雅黑" w:hAnsi="微软雅黑" w:eastAsia="微软雅黑"/>
          <w:lang w:val="en-US"/>
        </w:rPr>
      </w:pPr>
    </w:p>
    <w:p w14:paraId="40F20446">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103C1DD1">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30408096">
      <w:pPr>
        <w:pStyle w:val="3"/>
        <w:ind w:firstLine="0" w:firstLineChars="0"/>
        <w:rPr>
          <w:rFonts w:ascii="微软雅黑" w:hAnsi="微软雅黑" w:eastAsia="微软雅黑"/>
          <w:lang w:val="en-US"/>
        </w:rPr>
      </w:pPr>
    </w:p>
    <w:p w14:paraId="6B63BA6E">
      <w:pPr>
        <w:pStyle w:val="2"/>
      </w:pPr>
      <w:bookmarkStart w:id="21" w:name="_Toc452108762"/>
      <w:bookmarkStart w:id="22" w:name="TitleFormat"/>
      <w:bookmarkStart w:id="23" w:name="_Toc6170"/>
      <w:r>
        <w:rPr>
          <w:rFonts w:hint="eastAsia"/>
        </w:rPr>
        <w:t>计算</w:t>
      </w:r>
      <w:r>
        <w:t>依据</w:t>
      </w:r>
      <w:bookmarkEnd w:id="21"/>
      <w:bookmarkEnd w:id="22"/>
      <w:bookmarkEnd w:id="23"/>
    </w:p>
    <w:p w14:paraId="52A4AFA6">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21841773">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6B98EE22">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646673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31C385E">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F1E8432">
      <w:pPr>
        <w:pStyle w:val="2"/>
      </w:pPr>
      <w:bookmarkStart w:id="25" w:name="_Toc452108763"/>
      <w:bookmarkStart w:id="26" w:name="_Toc15947"/>
      <w:r>
        <w:rPr>
          <w:rFonts w:hint="eastAsia"/>
        </w:rPr>
        <w:t>参考</w:t>
      </w:r>
      <w:r>
        <w:t>标准</w:t>
      </w:r>
      <w:bookmarkEnd w:id="25"/>
      <w:bookmarkEnd w:id="26"/>
    </w:p>
    <w:p w14:paraId="4A212A7A">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4508ED30">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149FB048">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34E38AA3">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42D1ABB4">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21C3DED6">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36224B1E">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5A7EF8A8">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725873CA">
      <w:pPr>
        <w:pStyle w:val="2"/>
      </w:pPr>
      <w:bookmarkStart w:id="35" w:name="_Toc17002"/>
      <w:r>
        <w:rPr>
          <w:rFonts w:hint="eastAsia"/>
        </w:rPr>
        <w:t>计算原理</w:t>
      </w:r>
      <w:bookmarkEnd w:id="28"/>
      <w:bookmarkEnd w:id="29"/>
      <w:bookmarkEnd w:id="35"/>
    </w:p>
    <w:p w14:paraId="6BF6F0EC">
      <w:pPr>
        <w:pStyle w:val="4"/>
        <w:numPr>
          <w:ilvl w:val="1"/>
          <w:numId w:val="3"/>
        </w:numPr>
      </w:pPr>
      <w:bookmarkStart w:id="36" w:name="_Toc509844740"/>
      <w:bookmarkStart w:id="37" w:name="_Toc13292"/>
      <w:bookmarkStart w:id="38" w:name="_Toc452108765"/>
      <w:bookmarkStart w:id="39" w:name="_Toc451698937"/>
      <w:r>
        <w:rPr>
          <w:rFonts w:hint="eastAsia"/>
        </w:rPr>
        <w:t>风场计算域</w:t>
      </w:r>
      <w:bookmarkEnd w:id="36"/>
      <w:bookmarkEnd w:id="37"/>
    </w:p>
    <w:p w14:paraId="4E89B874">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5E0A1E88">
      <w:pPr>
        <w:pStyle w:val="59"/>
      </w:pPr>
    </w:p>
    <w:p w14:paraId="152EE851">
      <w:pPr>
        <w:pStyle w:val="5"/>
        <w:numPr>
          <w:ilvl w:val="2"/>
          <w:numId w:val="4"/>
        </w:numPr>
      </w:pPr>
      <w:bookmarkStart w:id="40" w:name="季节1"/>
      <w:r>
        <w:rPr>
          <w:rFonts w:hint="eastAsia"/>
        </w:rPr>
        <w:t>冬季</w:t>
      </w:r>
      <w:bookmarkEnd w:id="40"/>
      <w:r>
        <w:rPr>
          <w:rFonts w:hint="eastAsia"/>
        </w:rPr>
        <w:t>工况风场计算域</w:t>
      </w:r>
    </w:p>
    <w:p w14:paraId="52D1C9FE">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63438BC0">
        <w:tblPrEx>
          <w:tblCellMar>
            <w:top w:w="0" w:type="dxa"/>
            <w:left w:w="108" w:type="dxa"/>
            <w:bottom w:w="0" w:type="dxa"/>
            <w:right w:w="108" w:type="dxa"/>
          </w:tblCellMar>
        </w:tblPrEx>
        <w:trPr>
          <w:jc w:val="center"/>
        </w:trPr>
        <w:tc>
          <w:tcPr>
            <w:tcW w:w="2765" w:type="dxa"/>
            <w:shd w:val="clear" w:color="auto" w:fill="D8D8D8" w:themeFill="background1" w:themeFillShade="D9"/>
          </w:tcPr>
          <w:p w14:paraId="4BC045DD">
            <w:pPr>
              <w:jc w:val="center"/>
              <w:rPr>
                <w:sz w:val="18"/>
                <w:szCs w:val="18"/>
              </w:rPr>
            </w:pPr>
            <w:r>
              <w:rPr>
                <w:rFonts w:hint="eastAsia"/>
                <w:sz w:val="18"/>
                <w:szCs w:val="18"/>
              </w:rPr>
              <w:t>顺风方向（m）</w:t>
            </w:r>
          </w:p>
        </w:tc>
        <w:tc>
          <w:tcPr>
            <w:tcW w:w="2765" w:type="dxa"/>
            <w:shd w:val="clear" w:color="auto" w:fill="D8D8D8" w:themeFill="background1" w:themeFillShade="D9"/>
          </w:tcPr>
          <w:p w14:paraId="581FDADB">
            <w:pPr>
              <w:jc w:val="center"/>
              <w:rPr>
                <w:sz w:val="18"/>
                <w:szCs w:val="18"/>
              </w:rPr>
            </w:pPr>
            <w:r>
              <w:rPr>
                <w:rFonts w:hint="eastAsia"/>
                <w:sz w:val="18"/>
                <w:szCs w:val="18"/>
              </w:rPr>
              <w:t>宽度方向（m）</w:t>
            </w:r>
          </w:p>
        </w:tc>
        <w:tc>
          <w:tcPr>
            <w:tcW w:w="2766" w:type="dxa"/>
            <w:shd w:val="clear" w:color="auto" w:fill="D8D8D8" w:themeFill="background1" w:themeFillShade="D9"/>
          </w:tcPr>
          <w:p w14:paraId="61D38684">
            <w:pPr>
              <w:jc w:val="center"/>
              <w:rPr>
                <w:sz w:val="18"/>
                <w:szCs w:val="18"/>
              </w:rPr>
            </w:pPr>
            <w:r>
              <w:rPr>
                <w:rFonts w:hint="eastAsia"/>
                <w:sz w:val="18"/>
                <w:szCs w:val="18"/>
              </w:rPr>
              <w:t>高度方向（m）</w:t>
            </w:r>
          </w:p>
        </w:tc>
      </w:tr>
      <w:tr w14:paraId="3F159865">
        <w:tblPrEx>
          <w:tblCellMar>
            <w:top w:w="0" w:type="dxa"/>
            <w:left w:w="108" w:type="dxa"/>
            <w:bottom w:w="0" w:type="dxa"/>
            <w:right w:w="108" w:type="dxa"/>
          </w:tblCellMar>
        </w:tblPrEx>
        <w:trPr>
          <w:jc w:val="center"/>
        </w:trPr>
        <w:tc>
          <w:tcPr>
            <w:tcW w:w="2765" w:type="dxa"/>
          </w:tcPr>
          <w:p w14:paraId="49A6F536">
            <w:pPr>
              <w:jc w:val="center"/>
              <w:rPr>
                <w:sz w:val="18"/>
                <w:szCs w:val="18"/>
              </w:rPr>
            </w:pPr>
            <w:bookmarkStart w:id="42" w:name="冬季风场X尺寸"/>
            <w:r>
              <w:t>578</w:t>
            </w:r>
            <w:bookmarkEnd w:id="42"/>
          </w:p>
        </w:tc>
        <w:tc>
          <w:tcPr>
            <w:tcW w:w="2765" w:type="dxa"/>
          </w:tcPr>
          <w:p w14:paraId="61F3596E">
            <w:pPr>
              <w:jc w:val="center"/>
              <w:rPr>
                <w:sz w:val="18"/>
                <w:szCs w:val="18"/>
              </w:rPr>
            </w:pPr>
            <w:bookmarkStart w:id="43" w:name="冬季风场Y尺寸"/>
            <w:r>
              <w:t>473</w:t>
            </w:r>
            <w:bookmarkEnd w:id="43"/>
          </w:p>
        </w:tc>
        <w:tc>
          <w:tcPr>
            <w:tcW w:w="2766" w:type="dxa"/>
          </w:tcPr>
          <w:p w14:paraId="265C0FE1">
            <w:pPr>
              <w:jc w:val="center"/>
              <w:rPr>
                <w:sz w:val="18"/>
                <w:szCs w:val="18"/>
              </w:rPr>
            </w:pPr>
            <w:bookmarkStart w:id="44" w:name="冬季风场Z尺寸"/>
            <w:r>
              <w:t>115</w:t>
            </w:r>
            <w:bookmarkEnd w:id="44"/>
          </w:p>
        </w:tc>
      </w:tr>
    </w:tbl>
    <w:p w14:paraId="6E8812B2">
      <w:pPr>
        <w:jc w:val="center"/>
        <w:rPr>
          <w:sz w:val="18"/>
          <w:szCs w:val="18"/>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14:paraId="7562F1FD">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0FF5CE37">
      <w:pPr>
        <w:pStyle w:val="5"/>
        <w:numPr>
          <w:ilvl w:val="2"/>
          <w:numId w:val="4"/>
        </w:numPr>
      </w:pPr>
      <w:r>
        <w:rPr>
          <w:rFonts w:hint="eastAsia"/>
        </w:rPr>
        <w:t>夏季工况风场计算域</w:t>
      </w:r>
    </w:p>
    <w:p w14:paraId="092A4058">
      <w:pPr>
        <w:jc w:val="center"/>
        <w:rPr>
          <w:sz w:val="18"/>
          <w:szCs w:val="18"/>
        </w:rPr>
      </w:pPr>
      <w:r>
        <w:rPr>
          <w:rFonts w:hint="eastAsia"/>
          <w:sz w:val="18"/>
          <w:szCs w:val="18"/>
        </w:rPr>
        <w:t>表4</w:t>
      </w:r>
      <w:r>
        <w:rPr>
          <w:sz w:val="18"/>
          <w:szCs w:val="18"/>
        </w:rPr>
        <w:t xml:space="preserve">.1-1 </w:t>
      </w:r>
      <w:r>
        <w:t>夏季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117CF2C5">
        <w:tblPrEx>
          <w:tblCellMar>
            <w:top w:w="0" w:type="dxa"/>
            <w:left w:w="108" w:type="dxa"/>
            <w:bottom w:w="0" w:type="dxa"/>
            <w:right w:w="108" w:type="dxa"/>
          </w:tblCellMar>
        </w:tblPrEx>
        <w:trPr>
          <w:jc w:val="center"/>
        </w:trPr>
        <w:tc>
          <w:tcPr>
            <w:tcW w:w="2765" w:type="dxa"/>
            <w:shd w:val="clear" w:color="auto" w:fill="D8D8D8" w:themeFill="background1" w:themeFillShade="D9"/>
          </w:tcPr>
          <w:p w14:paraId="756E335D">
            <w:pPr>
              <w:jc w:val="center"/>
              <w:rPr>
                <w:sz w:val="18"/>
                <w:szCs w:val="18"/>
              </w:rPr>
            </w:pPr>
            <w:r>
              <w:rPr>
                <w:rFonts w:hint="eastAsia"/>
                <w:sz w:val="18"/>
                <w:szCs w:val="18"/>
              </w:rPr>
              <w:t>顺风方向（m）</w:t>
            </w:r>
          </w:p>
        </w:tc>
        <w:tc>
          <w:tcPr>
            <w:tcW w:w="2765" w:type="dxa"/>
            <w:shd w:val="clear" w:color="auto" w:fill="D8D8D8" w:themeFill="background1" w:themeFillShade="D9"/>
          </w:tcPr>
          <w:p w14:paraId="58B48BC9">
            <w:pPr>
              <w:jc w:val="center"/>
              <w:rPr>
                <w:sz w:val="18"/>
                <w:szCs w:val="18"/>
              </w:rPr>
            </w:pPr>
            <w:r>
              <w:rPr>
                <w:rFonts w:hint="eastAsia"/>
                <w:sz w:val="18"/>
                <w:szCs w:val="18"/>
              </w:rPr>
              <w:t>宽度方向（m）</w:t>
            </w:r>
          </w:p>
        </w:tc>
        <w:tc>
          <w:tcPr>
            <w:tcW w:w="2766" w:type="dxa"/>
            <w:shd w:val="clear" w:color="auto" w:fill="D8D8D8" w:themeFill="background1" w:themeFillShade="D9"/>
          </w:tcPr>
          <w:p w14:paraId="0AED5175">
            <w:pPr>
              <w:jc w:val="center"/>
              <w:rPr>
                <w:sz w:val="18"/>
                <w:szCs w:val="18"/>
              </w:rPr>
            </w:pPr>
            <w:r>
              <w:rPr>
                <w:rFonts w:hint="eastAsia"/>
                <w:sz w:val="18"/>
                <w:szCs w:val="18"/>
              </w:rPr>
              <w:t>高度方向（m）</w:t>
            </w:r>
          </w:p>
        </w:tc>
      </w:tr>
      <w:tr w14:paraId="75541A64">
        <w:tblPrEx>
          <w:tblCellMar>
            <w:top w:w="0" w:type="dxa"/>
            <w:left w:w="108" w:type="dxa"/>
            <w:bottom w:w="0" w:type="dxa"/>
            <w:right w:w="108" w:type="dxa"/>
          </w:tblCellMar>
        </w:tblPrEx>
        <w:trPr>
          <w:jc w:val="center"/>
        </w:trPr>
        <w:tc>
          <w:tcPr>
            <w:tcW w:w="2765" w:type="dxa"/>
          </w:tcPr>
          <w:p w14:paraId="4219F16D">
            <w:pPr>
              <w:jc w:val="center"/>
              <w:rPr>
                <w:sz w:val="18"/>
                <w:szCs w:val="18"/>
              </w:rPr>
            </w:pPr>
            <w:r>
              <w:t>578</w:t>
            </w:r>
          </w:p>
        </w:tc>
        <w:tc>
          <w:tcPr>
            <w:tcW w:w="2765" w:type="dxa"/>
          </w:tcPr>
          <w:p w14:paraId="036DB094">
            <w:pPr>
              <w:jc w:val="center"/>
              <w:rPr>
                <w:sz w:val="18"/>
                <w:szCs w:val="18"/>
              </w:rPr>
            </w:pPr>
            <w:r>
              <w:t>473</w:t>
            </w:r>
          </w:p>
        </w:tc>
        <w:tc>
          <w:tcPr>
            <w:tcW w:w="2766" w:type="dxa"/>
          </w:tcPr>
          <w:p w14:paraId="6B2BF375">
            <w:pPr>
              <w:jc w:val="center"/>
              <w:rPr>
                <w:sz w:val="18"/>
                <w:szCs w:val="18"/>
              </w:rPr>
            </w:pPr>
            <w:r>
              <w:t>115</w:t>
            </w:r>
          </w:p>
        </w:tc>
      </w:tr>
    </w:tbl>
    <w:p w14:paraId="08D059B0">
      <w:pPr>
        <w:jc w:val="center"/>
        <w:rPr>
          <w:sz w:val="18"/>
          <w:szCs w:val="18"/>
        </w:rPr>
      </w:pPr>
      <w:r>
        <w:drawing>
          <wp:inline distT="0" distB="0" distL="0" distR="0">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43C449B5">
      <w:pPr>
        <w:jc w:val="center"/>
        <w:rPr>
          <w:sz w:val="18"/>
          <w:szCs w:val="18"/>
        </w:rPr>
      </w:pPr>
      <w:r>
        <w:rPr>
          <w:rFonts w:hint="eastAsia"/>
          <w:sz w:val="18"/>
          <w:szCs w:val="18"/>
        </w:rPr>
        <w:t>图4</w:t>
      </w:r>
      <w:r>
        <w:rPr>
          <w:sz w:val="18"/>
          <w:szCs w:val="18"/>
        </w:rPr>
        <w:t xml:space="preserve">.11 </w:t>
      </w:r>
      <w:r>
        <w:t>夏季</w:t>
      </w:r>
      <w:r>
        <w:rPr>
          <w:rFonts w:hint="eastAsia"/>
          <w:sz w:val="18"/>
          <w:szCs w:val="18"/>
        </w:rPr>
        <w:t>工况风场计算域图示</w:t>
      </w:r>
    </w:p>
    <w:p w14:paraId="650B6A06">
      <w:pPr>
        <w:pStyle w:val="59"/>
      </w:pPr>
      <w:bookmarkStart w:id="47" w:name="计算域"/>
      <w:bookmarkEnd w:id="47"/>
    </w:p>
    <w:p w14:paraId="581237A4">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573A9F9E">
      <w:pPr>
        <w:pStyle w:val="4"/>
      </w:pPr>
      <w:bookmarkStart w:id="48" w:name="_Toc509844741"/>
      <w:bookmarkStart w:id="49" w:name="_Toc32755"/>
      <w:r>
        <w:rPr>
          <w:rFonts w:hint="eastAsia"/>
        </w:rPr>
        <w:t>网格划分</w:t>
      </w:r>
      <w:bookmarkEnd w:id="48"/>
      <w:bookmarkEnd w:id="49"/>
    </w:p>
    <w:p w14:paraId="01E7AB08">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0C7CD0F">
      <w:pPr>
        <w:pStyle w:val="13"/>
        <w:spacing w:before="156"/>
        <w:ind w:left="426" w:firstLine="0"/>
        <w:rPr>
          <w:rFonts w:ascii="微软雅黑"/>
        </w:rPr>
      </w:pPr>
      <w:r>
        <w:rPr>
          <w:rFonts w:hint="eastAsia" w:ascii="微软雅黑"/>
        </w:rPr>
        <w:t>1）一般网格：指除靠近地面和建筑以外的网格，通常不需要特别加密处理</w:t>
      </w:r>
    </w:p>
    <w:p w14:paraId="63834629">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7161CEF">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07253B83">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3E5D215E">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718D0A85">
      <w:pPr>
        <w:pStyle w:val="13"/>
        <w:spacing w:before="156"/>
        <w:ind w:left="0" w:firstLine="315" w:firstLineChars="150"/>
        <w:rPr>
          <w:rFonts w:ascii="微软雅黑"/>
        </w:rPr>
      </w:pPr>
      <w:r>
        <w:rPr>
          <w:rFonts w:hint="eastAsia" w:ascii="微软雅黑"/>
        </w:rPr>
        <w:t>2）地面网格</w:t>
      </w:r>
    </w:p>
    <w:p w14:paraId="75E12899">
      <w:pPr>
        <w:pStyle w:val="13"/>
        <w:spacing w:before="156"/>
        <w:ind w:firstLine="315" w:firstLineChars="150"/>
        <w:rPr>
          <w:rFonts w:ascii="微软雅黑"/>
        </w:rPr>
      </w:pPr>
      <w:r>
        <w:rPr>
          <w:rFonts w:hint="eastAsia" w:ascii="微软雅黑"/>
        </w:rPr>
        <w:t>靠近建筑物的区域称为近场，远离建筑物的区域称为远场。</w:t>
      </w:r>
    </w:p>
    <w:p w14:paraId="7EFC2DF9">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463B05D5">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7D19B89A">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518E05F8">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A9C4A93">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52F3F6B">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3657B2">
            <w:pPr>
              <w:jc w:val="center"/>
              <w:rPr>
                <w:sz w:val="18"/>
                <w:szCs w:val="18"/>
              </w:rPr>
            </w:pPr>
            <w:r>
              <w:rPr>
                <w:rFonts w:hint="eastAsia"/>
                <w:sz w:val="18"/>
                <w:szCs w:val="18"/>
              </w:rPr>
              <w:t>网格尺寸</w:t>
            </w:r>
          </w:p>
        </w:tc>
      </w:tr>
      <w:tr w14:paraId="4D3E4EE4">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40063B1">
            <w:pPr>
              <w:jc w:val="center"/>
              <w:rPr>
                <w:sz w:val="18"/>
                <w:szCs w:val="18"/>
              </w:rPr>
            </w:pPr>
            <w:bookmarkStart w:id="51" w:name="冬季网格总数"/>
            <w:r>
              <w:t>481703</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634F9B8">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A8174E0">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4471379">
            <w:pPr>
              <w:jc w:val="center"/>
              <w:rPr>
                <w:sz w:val="18"/>
                <w:szCs w:val="18"/>
              </w:rPr>
            </w:pPr>
            <w:bookmarkStart w:id="52" w:name="冬季分弧精度"/>
            <w:r>
              <w:t>0.24</w:t>
            </w:r>
            <w:bookmarkEnd w:id="52"/>
          </w:p>
        </w:tc>
      </w:tr>
      <w:tr w14:paraId="72F3D58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B57D11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027175A">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7A446CF">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B445ACA">
            <w:pPr>
              <w:jc w:val="center"/>
              <w:rPr>
                <w:sz w:val="18"/>
                <w:szCs w:val="18"/>
              </w:rPr>
            </w:pPr>
            <w:bookmarkStart w:id="53" w:name="最大网格尺寸"/>
            <w:r>
              <w:t>16.0</w:t>
            </w:r>
            <w:bookmarkEnd w:id="53"/>
          </w:p>
        </w:tc>
      </w:tr>
      <w:tr w14:paraId="2CED5BC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459004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08D5A40">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3866E9">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508D46E">
            <w:pPr>
              <w:jc w:val="center"/>
              <w:rPr>
                <w:sz w:val="18"/>
                <w:szCs w:val="18"/>
              </w:rPr>
            </w:pPr>
            <w:bookmarkStart w:id="54" w:name="最小网格尺寸"/>
            <w:r>
              <w:t>4.0</w:t>
            </w:r>
            <w:bookmarkEnd w:id="54"/>
          </w:p>
        </w:tc>
      </w:tr>
      <w:tr w14:paraId="2410391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39DEC5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DE6438C">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4E1AD01">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A3CD333">
            <w:pPr>
              <w:jc w:val="center"/>
              <w:rPr>
                <w:sz w:val="18"/>
                <w:szCs w:val="18"/>
              </w:rPr>
            </w:pPr>
            <w:bookmarkStart w:id="55" w:name="建筑表面细分层厚度"/>
            <w:r>
              <w:t>4.0</w:t>
            </w:r>
            <w:bookmarkEnd w:id="55"/>
          </w:p>
        </w:tc>
      </w:tr>
      <w:tr w14:paraId="7638C2D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8C59A0F">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92A535C">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CEBCCA8">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D9FA521">
            <w:pPr>
              <w:jc w:val="center"/>
              <w:rPr>
                <w:sz w:val="18"/>
                <w:szCs w:val="18"/>
              </w:rPr>
            </w:pPr>
            <w:bookmarkStart w:id="56" w:name="远场网格尺寸"/>
            <w:r>
              <w:t>8.0</w:t>
            </w:r>
            <w:bookmarkEnd w:id="56"/>
          </w:p>
        </w:tc>
      </w:tr>
      <w:tr w14:paraId="1B9F7F7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72CC6B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33F615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3260B86">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9FEE778">
            <w:pPr>
              <w:jc w:val="center"/>
              <w:rPr>
                <w:sz w:val="18"/>
                <w:szCs w:val="18"/>
              </w:rPr>
            </w:pPr>
            <w:bookmarkStart w:id="57" w:name="近场网格尺寸"/>
            <w:r>
              <w:t>4.0</w:t>
            </w:r>
            <w:bookmarkEnd w:id="57"/>
          </w:p>
        </w:tc>
      </w:tr>
    </w:tbl>
    <w:p w14:paraId="751BFB35">
      <w:pPr>
        <w:spacing w:line="400" w:lineRule="exact"/>
        <w:rPr>
          <w:sz w:val="18"/>
          <w:szCs w:val="18"/>
          <w:lang w:val="en-US"/>
        </w:rPr>
      </w:pPr>
    </w:p>
    <w:p w14:paraId="0F3FDD7A">
      <w:pPr>
        <w:jc w:val="center"/>
      </w:pPr>
      <w:bookmarkStart w:id="58" w:name="网格图"/>
      <w:bookmarkEnd w:id="5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5B6EC7A5">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20F28EC8">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3"/>
      <w:r>
        <w:rPr>
          <w:rFonts w:hint="eastAsia" w:ascii="微软雅黑" w:hAnsi="微软雅黑" w:eastAsia="微软雅黑"/>
          <w:sz w:val="18"/>
          <w:szCs w:val="18"/>
        </w:rPr>
        <w:t>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542432B2">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EDA98E0">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9335203">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8B671A">
            <w:pPr>
              <w:jc w:val="center"/>
              <w:rPr>
                <w:sz w:val="18"/>
                <w:szCs w:val="18"/>
              </w:rPr>
            </w:pPr>
            <w:r>
              <w:rPr>
                <w:rFonts w:hint="eastAsia"/>
                <w:sz w:val="18"/>
                <w:szCs w:val="18"/>
              </w:rPr>
              <w:t>网格尺寸</w:t>
            </w:r>
          </w:p>
        </w:tc>
      </w:tr>
      <w:tr w14:paraId="52CF21BC">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E95E510">
            <w:pPr>
              <w:jc w:val="center"/>
              <w:rPr>
                <w:sz w:val="18"/>
                <w:szCs w:val="18"/>
              </w:rPr>
            </w:pPr>
            <w:r>
              <w:t>481703</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5EF21D6">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81477E">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A9C4313">
            <w:pPr>
              <w:jc w:val="center"/>
              <w:rPr>
                <w:sz w:val="18"/>
                <w:szCs w:val="18"/>
              </w:rPr>
            </w:pPr>
            <w:r>
              <w:t>0.24</w:t>
            </w:r>
          </w:p>
        </w:tc>
      </w:tr>
      <w:tr w14:paraId="1428466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975BA4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49B08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8BF7DA">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E98641D">
            <w:pPr>
              <w:jc w:val="center"/>
              <w:rPr>
                <w:sz w:val="18"/>
                <w:szCs w:val="18"/>
              </w:rPr>
            </w:pPr>
            <w:r>
              <w:t>16.0</w:t>
            </w:r>
            <w:bookmarkEnd w:id="6"/>
          </w:p>
        </w:tc>
      </w:tr>
      <w:tr w14:paraId="3506C22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132CE5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6DC3FA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9139A97">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ED3BD34">
            <w:pPr>
              <w:jc w:val="center"/>
              <w:rPr>
                <w:sz w:val="18"/>
                <w:szCs w:val="18"/>
              </w:rPr>
            </w:pPr>
            <w:r>
              <w:t>4.0</w:t>
            </w:r>
            <w:bookmarkEnd w:id="7"/>
          </w:p>
        </w:tc>
      </w:tr>
      <w:tr w14:paraId="3F4B6F0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C754466">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60F4CD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5B4620">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8A2CCD4">
            <w:pPr>
              <w:jc w:val="center"/>
              <w:rPr>
                <w:sz w:val="18"/>
                <w:szCs w:val="18"/>
              </w:rPr>
            </w:pPr>
            <w:r>
              <w:t>4.0</w:t>
            </w:r>
            <w:bookmarkEnd w:id="8"/>
          </w:p>
        </w:tc>
      </w:tr>
      <w:tr w14:paraId="0B596D3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46CA197">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843C470">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87060E0">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7D82AB9">
            <w:pPr>
              <w:jc w:val="center"/>
              <w:rPr>
                <w:sz w:val="18"/>
                <w:szCs w:val="18"/>
              </w:rPr>
            </w:pPr>
            <w:r>
              <w:t>8.0</w:t>
            </w:r>
            <w:bookmarkEnd w:id="9"/>
          </w:p>
        </w:tc>
      </w:tr>
      <w:tr w14:paraId="0A79682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3C8961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47D0BAA">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FB4723">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631C203">
            <w:pPr>
              <w:jc w:val="center"/>
              <w:rPr>
                <w:sz w:val="18"/>
                <w:szCs w:val="18"/>
              </w:rPr>
            </w:pPr>
            <w:r>
              <w:t>4.0</w:t>
            </w:r>
            <w:bookmarkEnd w:id="10"/>
          </w:p>
        </w:tc>
      </w:tr>
    </w:tbl>
    <w:p w14:paraId="3ED81DCC">
      <w:pPr>
        <w:spacing w:line="400" w:lineRule="exact"/>
        <w:rPr>
          <w:sz w:val="18"/>
          <w:szCs w:val="18"/>
          <w:lang w:val="en-US"/>
        </w:rPr>
      </w:pPr>
    </w:p>
    <w:p w14:paraId="4D8AF735">
      <w:pPr>
        <w:jc w:val="center"/>
      </w:pPr>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05D2EF67">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17D46141">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DAFC035">
      <w:pPr>
        <w:pStyle w:val="3"/>
        <w:ind w:firstLine="0" w:firstLineChars="0"/>
        <w:rPr>
          <w:rFonts w:ascii="微软雅黑" w:hAnsi="微软雅黑" w:eastAsia="微软雅黑"/>
          <w:szCs w:val="20"/>
          <w:lang w:val="en-US"/>
        </w:rPr>
      </w:pPr>
    </w:p>
    <w:p w14:paraId="6250FFC5">
      <w:pPr>
        <w:pStyle w:val="4"/>
        <w:numPr>
          <w:ilvl w:val="1"/>
          <w:numId w:val="3"/>
        </w:numPr>
      </w:pPr>
      <w:bookmarkStart w:id="61" w:name="_Toc509844742"/>
      <w:bookmarkStart w:id="62" w:name="_Toc11173"/>
      <w:r>
        <w:rPr>
          <w:rFonts w:hint="eastAsia"/>
        </w:rPr>
        <w:t>边界条件</w:t>
      </w:r>
      <w:bookmarkEnd w:id="61"/>
      <w:bookmarkEnd w:id="62"/>
    </w:p>
    <w:p w14:paraId="719A13AF">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6C3DD87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63CDABD1">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968B0E6">
      <w:pPr>
        <w:pStyle w:val="5"/>
      </w:pPr>
      <w:bookmarkStart w:id="63" w:name="_Toc509844743"/>
      <w:r>
        <w:rPr>
          <w:rFonts w:hint="eastAsia"/>
        </w:rPr>
        <w:t>入口与出口边界条件</w:t>
      </w:r>
      <w:bookmarkEnd w:id="63"/>
    </w:p>
    <w:p w14:paraId="7C371E9F">
      <w:r>
        <w:rPr>
          <w:rFonts w:hint="eastAsia"/>
        </w:rPr>
        <w:t>1）入口风速梯度</w:t>
      </w:r>
    </w:p>
    <w:p w14:paraId="5D2C09E4">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3BF71955">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46D47DEB">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12204963">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5B57180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668059F2">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44251DE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642E79FD">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5E6FB837">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7964C4EC">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14AFC8D3">
            <w:pPr>
              <w:pStyle w:val="59"/>
              <w:rPr>
                <w:b/>
              </w:rPr>
            </w:pPr>
            <w:r>
              <w:rPr>
                <w:rFonts w:hint="eastAsia"/>
                <w:b/>
              </w:rPr>
              <w:t>地面粗糙度指数</w:t>
            </w:r>
          </w:p>
        </w:tc>
      </w:tr>
      <w:tr w14:paraId="6049C6C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9E735BA">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5AE2D83">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34CE68EF">
            <w:pPr>
              <w:pStyle w:val="59"/>
            </w:pPr>
            <w:r>
              <w:rPr>
                <w:rFonts w:hint="eastAsia"/>
              </w:rPr>
              <w:t>0.14</w:t>
            </w:r>
          </w:p>
        </w:tc>
      </w:tr>
      <w:tr w14:paraId="0FCF20C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03CDB872">
            <w:pPr>
              <w:pStyle w:val="59"/>
              <w:rPr>
                <w:b/>
              </w:rPr>
            </w:pPr>
          </w:p>
        </w:tc>
        <w:tc>
          <w:tcPr>
            <w:tcW w:w="2948" w:type="dxa"/>
            <w:tcBorders>
              <w:top w:val="single" w:color="auto" w:sz="4" w:space="0"/>
              <w:left w:val="nil"/>
              <w:bottom w:val="single" w:color="auto" w:sz="4" w:space="0"/>
              <w:right w:val="single" w:color="auto" w:sz="4" w:space="0"/>
            </w:tcBorders>
            <w:vAlign w:val="center"/>
          </w:tcPr>
          <w:p w14:paraId="67019801">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06E63C4D">
            <w:pPr>
              <w:pStyle w:val="59"/>
            </w:pPr>
            <w:r>
              <w:rPr>
                <w:rFonts w:hint="eastAsia"/>
              </w:rPr>
              <w:t>0.22</w:t>
            </w:r>
          </w:p>
        </w:tc>
      </w:tr>
      <w:tr w14:paraId="616D5DA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9652539">
            <w:pPr>
              <w:pStyle w:val="59"/>
              <w:rPr>
                <w:b/>
              </w:rPr>
            </w:pPr>
          </w:p>
        </w:tc>
        <w:tc>
          <w:tcPr>
            <w:tcW w:w="2948" w:type="dxa"/>
            <w:tcBorders>
              <w:top w:val="single" w:color="auto" w:sz="4" w:space="0"/>
              <w:left w:val="nil"/>
              <w:bottom w:val="single" w:color="auto" w:sz="4" w:space="0"/>
              <w:right w:val="single" w:color="auto" w:sz="4" w:space="0"/>
            </w:tcBorders>
            <w:vAlign w:val="center"/>
          </w:tcPr>
          <w:p w14:paraId="767B4B0E">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746828EA">
            <w:pPr>
              <w:pStyle w:val="59"/>
            </w:pPr>
            <w:r>
              <w:rPr>
                <w:rFonts w:hint="eastAsia"/>
              </w:rPr>
              <w:t>0.28</w:t>
            </w:r>
          </w:p>
        </w:tc>
      </w:tr>
    </w:tbl>
    <w:p w14:paraId="73D02DCF">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5DDE4DC4">
      <w:pPr>
        <w:spacing w:before="156" w:beforeLines="50"/>
      </w:pPr>
      <w:r>
        <w:t>2）出口边界</w:t>
      </w:r>
      <w:r>
        <w:rPr>
          <w:rFonts w:hint="eastAsia"/>
        </w:rPr>
        <w:t>条件</w:t>
      </w:r>
    </w:p>
    <w:p w14:paraId="4CC4119F">
      <w:pPr>
        <w:spacing w:before="156" w:beforeLines="50"/>
        <w:ind w:firstLine="420"/>
      </w:pPr>
      <w:r>
        <w:rPr>
          <w:rFonts w:hint="eastAsia"/>
          <w:lang w:val="en-US"/>
        </w:rPr>
        <w:t>本项目采用自由出流作为出口边界条件。</w:t>
      </w:r>
    </w:p>
    <w:p w14:paraId="3DD558F6">
      <w:pPr>
        <w:pStyle w:val="5"/>
      </w:pPr>
      <w:bookmarkStart w:id="65" w:name="_Toc509844744"/>
      <w:r>
        <w:rPr>
          <w:rFonts w:hint="eastAsia"/>
        </w:rPr>
        <w:t>壁面边界条件</w:t>
      </w:r>
      <w:bookmarkEnd w:id="65"/>
    </w:p>
    <w:p w14:paraId="6213948F">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2D645616">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2E537FE7">
      <w:pPr>
        <w:pStyle w:val="4"/>
        <w:numPr>
          <w:ilvl w:val="1"/>
          <w:numId w:val="3"/>
        </w:numPr>
      </w:pPr>
      <w:bookmarkStart w:id="66" w:name="_Toc25834"/>
      <w:r>
        <w:rPr>
          <w:rFonts w:hint="eastAsia"/>
        </w:rPr>
        <w:t>湍流模型</w:t>
      </w:r>
      <w:bookmarkEnd w:id="38"/>
      <w:bookmarkEnd w:id="39"/>
      <w:bookmarkEnd w:id="66"/>
    </w:p>
    <w:p w14:paraId="13FDA8DC">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63677DD0">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70082E79">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607EA37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2D0E1CC7">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33C47AE">
            <w:pPr>
              <w:pStyle w:val="59"/>
            </w:pPr>
            <w:bookmarkStart w:id="67" w:name="_Toc451698939"/>
            <w:bookmarkStart w:id="68" w:name="_Toc452108767"/>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4DAAF0EA">
            <w:pPr>
              <w:pStyle w:val="59"/>
            </w:pPr>
            <w:r>
              <w:rPr>
                <w:rFonts w:hint="eastAsia"/>
              </w:rPr>
              <w:t>特点和适用工况</w:t>
            </w:r>
          </w:p>
        </w:tc>
      </w:tr>
      <w:tr w14:paraId="242E9C1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C8EC0A5">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46D77590">
            <w:pPr>
              <w:pStyle w:val="59"/>
            </w:pPr>
            <w:r>
              <w:rPr>
                <w:rFonts w:hint="eastAsia"/>
              </w:rPr>
              <w:t>简单的工业流场和热交换模拟，无较大压力梯度、分离、强曲率流，适用于初始的参数研究</w:t>
            </w:r>
          </w:p>
        </w:tc>
      </w:tr>
      <w:tr w14:paraId="366E64AB">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6A7B4D5D">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824A416">
            <w:pPr>
              <w:pStyle w:val="59"/>
            </w:pPr>
            <w:r>
              <w:rPr>
                <w:rFonts w:hint="eastAsia"/>
              </w:rPr>
              <w:t>适合包括快速应变的复杂剪切流、中等旋涡流动、局部转捩流如边界层分离、钝体尾迹涡、大角度失速、房间通风、室外空气流动</w:t>
            </w:r>
          </w:p>
        </w:tc>
      </w:tr>
      <w:tr w14:paraId="0DFD2C3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8BCE49F">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332D969">
            <w:pPr>
              <w:pStyle w:val="59"/>
            </w:pPr>
            <w:r>
              <w:rPr>
                <w:rFonts w:hint="eastAsia"/>
              </w:rPr>
              <w:t>旋转流动、强逆压梯度的边界层流动、流动分离和二次流，类似于RNG</w:t>
            </w:r>
          </w:p>
        </w:tc>
      </w:tr>
    </w:tbl>
    <w:p w14:paraId="499FE55F">
      <w:pPr>
        <w:pStyle w:val="4"/>
        <w:numPr>
          <w:ilvl w:val="1"/>
          <w:numId w:val="3"/>
        </w:numPr>
      </w:pPr>
      <w:bookmarkStart w:id="69" w:name="_Toc253"/>
      <w:r>
        <w:rPr>
          <w:rFonts w:hint="eastAsia"/>
        </w:rPr>
        <w:t>求解计算</w:t>
      </w:r>
      <w:bookmarkEnd w:id="67"/>
      <w:bookmarkEnd w:id="68"/>
      <w:bookmarkEnd w:id="69"/>
    </w:p>
    <w:p w14:paraId="6D0A44C4">
      <w:pPr>
        <w:pStyle w:val="5"/>
      </w:pPr>
      <w:r>
        <w:rPr>
          <w:rFonts w:hint="eastAsia"/>
        </w:rPr>
        <w:t>数学模型</w:t>
      </w:r>
    </w:p>
    <w:p w14:paraId="3435669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E332D32">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49B9C42">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950039B">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29F40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1B4DF07">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758A3DE">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D87A71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0E1318F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680D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9E5CFE">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7266D43">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C2DB326">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B9E90E2">
            <w:pPr>
              <w:widowControl w:val="0"/>
              <w:jc w:val="both"/>
              <w:rPr>
                <w:rFonts w:cs="Calibri"/>
                <w:kern w:val="2"/>
                <w:sz w:val="18"/>
                <w:szCs w:val="18"/>
              </w:rPr>
            </w:pPr>
            <w:r>
              <w:rPr>
                <w:sz w:val="18"/>
                <w:szCs w:val="18"/>
              </w:rPr>
              <w:t>0</w:t>
            </w:r>
          </w:p>
        </w:tc>
      </w:tr>
      <w:tr w14:paraId="3BA40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F15C85">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F48AAF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19E83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F3B8D9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4B6F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6B1B4E">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88D12E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62088F4">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6E6B6B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EDFD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9DCCEC">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8CF345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0476F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87EC56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35883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23907F">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0E211A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4F8A1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7B6C25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5365C6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6315A7">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C31BCC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7583E7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97A6CF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47E9D5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A82D5A2">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4DEC3A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D206240">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AC6151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7253AD32">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3A72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4FF501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6DF6F2B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79DCB14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A53A38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3D5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FB049A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64EBD21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252E621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1890E95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867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59E8FD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0FD99AF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31FAF0F5">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9341E58">
            <w:pPr>
              <w:pStyle w:val="3"/>
              <w:spacing w:line="240" w:lineRule="atLeast"/>
              <w:ind w:firstLine="0" w:firstLineChars="0"/>
              <w:jc w:val="left"/>
              <w:rPr>
                <w:rFonts w:ascii="微软雅黑" w:hAnsi="微软雅黑" w:eastAsia="微软雅黑"/>
                <w:sz w:val="18"/>
                <w:szCs w:val="18"/>
                <w:lang w:val="en-US"/>
              </w:rPr>
            </w:pPr>
          </w:p>
        </w:tc>
      </w:tr>
      <w:tr w14:paraId="1E5D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37BA58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C14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A81654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C7D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625E87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07B532A">
      <w:pPr>
        <w:pStyle w:val="3"/>
        <w:ind w:firstLine="525" w:firstLineChars="250"/>
        <w:rPr>
          <w:rFonts w:ascii="微软雅黑" w:hAnsi="微软雅黑" w:eastAsia="微软雅黑"/>
        </w:rPr>
      </w:pPr>
    </w:p>
    <w:p w14:paraId="7EACD843">
      <w:pPr>
        <w:pStyle w:val="5"/>
      </w:pPr>
      <w:r>
        <w:rPr>
          <w:rFonts w:hint="eastAsia"/>
        </w:rPr>
        <w:t>算法说明</w:t>
      </w:r>
    </w:p>
    <w:p w14:paraId="1ADAFAE5">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313352F">
      <w:pPr>
        <w:pStyle w:val="4"/>
      </w:pPr>
      <w:bookmarkStart w:id="72" w:name="_Toc509844747"/>
      <w:bookmarkStart w:id="73" w:name="_Toc7762"/>
      <w:r>
        <w:rPr>
          <w:rFonts w:hint="eastAsia"/>
        </w:rPr>
        <w:t>风速放大系数计算</w:t>
      </w:r>
      <w:bookmarkEnd w:id="72"/>
      <w:bookmarkEnd w:id="73"/>
    </w:p>
    <w:p w14:paraId="7958A427">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1585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AF78DA1">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13F5BA91">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D99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1A77035">
            <w:pPr>
              <w:spacing w:line="360" w:lineRule="exact"/>
              <w:rPr>
                <w:lang w:val="en-US"/>
              </w:rPr>
            </w:pPr>
          </w:p>
        </w:tc>
        <w:tc>
          <w:tcPr>
            <w:tcW w:w="1832" w:type="dxa"/>
            <w:vAlign w:val="center"/>
          </w:tcPr>
          <w:p w14:paraId="34A66ABD">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EA594B2">
      <w:pPr>
        <w:pStyle w:val="3"/>
        <w:ind w:firstLine="420"/>
        <w:rPr>
          <w:rFonts w:ascii="微软雅黑" w:hAnsi="微软雅黑" w:eastAsia="微软雅黑"/>
          <w:lang w:val="en-US"/>
        </w:rPr>
      </w:pPr>
      <w:r>
        <w:rPr>
          <w:rFonts w:hint="eastAsia" w:ascii="微软雅黑" w:hAnsi="微软雅黑" w:eastAsia="微软雅黑"/>
          <w:lang w:val="en-US"/>
        </w:rPr>
        <w:t>其中：</w:t>
      </w:r>
    </w:p>
    <w:p w14:paraId="6BE51D96">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微软雅黑" w:hAnsi="微软雅黑" w:eastAsia="微软雅黑"/>
        </w:rPr>
        <w:t>——风速放大系数；</w:t>
      </w:r>
    </w:p>
    <w:p w14:paraId="088EB260">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7A3C50A3">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1D198ED">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2905445F">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7F62D3CD"/>
    <w:p w14:paraId="55C9D111">
      <w:pPr>
        <w:pStyle w:val="2"/>
      </w:pPr>
      <w:bookmarkStart w:id="75" w:name="_Toc452108768"/>
      <w:bookmarkStart w:id="76" w:name="_Toc22039"/>
      <w:r>
        <w:rPr>
          <w:rFonts w:hint="eastAsia"/>
        </w:rPr>
        <w:t>结果</w:t>
      </w:r>
      <w:r>
        <w:t>分析</w:t>
      </w:r>
      <w:bookmarkEnd w:id="75"/>
      <w:bookmarkEnd w:id="76"/>
    </w:p>
    <w:p w14:paraId="3A9936E3">
      <w:pPr>
        <w:pStyle w:val="4"/>
      </w:pPr>
      <w:bookmarkStart w:id="77" w:name="_Toc4650"/>
      <w:r>
        <w:rPr>
          <w:rFonts w:hint="eastAsia"/>
        </w:rPr>
        <w:t>工况</w:t>
      </w:r>
      <w:r>
        <w:t>表</w:t>
      </w:r>
      <w:bookmarkEnd w:id="77"/>
    </w:p>
    <w:p w14:paraId="116637BB">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2CE64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3AB950AA">
            <w:pPr>
              <w:pStyle w:val="59"/>
            </w:pPr>
            <w:bookmarkStart w:id="78" w:name="计算工况表"/>
            <w:r>
              <w:rPr>
                <w:rFonts w:hint="eastAsia"/>
              </w:rPr>
              <w:t>序号</w:t>
            </w:r>
          </w:p>
        </w:tc>
        <w:tc>
          <w:tcPr>
            <w:tcW w:w="1166" w:type="pct"/>
            <w:shd w:val="clear" w:color="auto" w:fill="E6E6E6"/>
            <w:vAlign w:val="center"/>
          </w:tcPr>
          <w:p w14:paraId="190D10FB">
            <w:pPr>
              <w:pStyle w:val="59"/>
            </w:pPr>
            <w:r>
              <w:rPr>
                <w:rFonts w:hint="eastAsia"/>
              </w:rPr>
              <w:t>季节</w:t>
            </w:r>
          </w:p>
        </w:tc>
        <w:tc>
          <w:tcPr>
            <w:tcW w:w="1187" w:type="pct"/>
            <w:shd w:val="clear" w:color="auto" w:fill="E6E6E6"/>
            <w:vAlign w:val="center"/>
          </w:tcPr>
          <w:p w14:paraId="2F08874F">
            <w:pPr>
              <w:pStyle w:val="59"/>
            </w:pPr>
            <w:r>
              <w:rPr>
                <w:rFonts w:hint="eastAsia"/>
              </w:rPr>
              <w:t>风速</w:t>
            </w:r>
            <w:r>
              <w:t>(m/s)</w:t>
            </w:r>
          </w:p>
        </w:tc>
        <w:tc>
          <w:tcPr>
            <w:tcW w:w="994" w:type="pct"/>
            <w:shd w:val="clear" w:color="auto" w:fill="E6E6E6"/>
            <w:vAlign w:val="center"/>
          </w:tcPr>
          <w:p w14:paraId="27861072">
            <w:pPr>
              <w:pStyle w:val="59"/>
            </w:pPr>
            <w:r>
              <w:rPr>
                <w:rFonts w:hint="eastAsia"/>
              </w:rPr>
              <w:t>风向</w:t>
            </w:r>
          </w:p>
        </w:tc>
        <w:tc>
          <w:tcPr>
            <w:tcW w:w="994" w:type="pct"/>
            <w:shd w:val="clear" w:color="auto" w:fill="E6E6E6"/>
            <w:vAlign w:val="center"/>
          </w:tcPr>
          <w:p w14:paraId="3B79C8E6">
            <w:pPr>
              <w:pStyle w:val="59"/>
            </w:pPr>
            <w:r>
              <w:rPr>
                <w:rFonts w:hint="eastAsia"/>
              </w:rPr>
              <w:t>风向（°</w:t>
            </w:r>
            <w:r>
              <w:t>）</w:t>
            </w:r>
          </w:p>
        </w:tc>
      </w:tr>
      <w:tr w14:paraId="661D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136062A9">
            <w:pPr>
              <w:pStyle w:val="59"/>
            </w:pPr>
            <w:r>
              <w:t>1</w:t>
            </w:r>
          </w:p>
        </w:tc>
        <w:tc>
          <w:tcPr>
            <w:tcW w:w="1166" w:type="pct"/>
            <w:vAlign w:val="center"/>
          </w:tcPr>
          <w:p w14:paraId="68590F16">
            <w:pPr>
              <w:pStyle w:val="59"/>
            </w:pPr>
            <w:r>
              <w:t>冬季</w:t>
            </w:r>
          </w:p>
        </w:tc>
        <w:tc>
          <w:tcPr>
            <w:tcW w:w="1187" w:type="pct"/>
            <w:vAlign w:val="center"/>
          </w:tcPr>
          <w:p w14:paraId="0D62CE0E">
            <w:pPr>
              <w:pStyle w:val="59"/>
            </w:pPr>
            <w:r>
              <w:t>4.70</w:t>
            </w:r>
          </w:p>
        </w:tc>
        <w:tc>
          <w:tcPr>
            <w:tcW w:w="994" w:type="pct"/>
            <w:vAlign w:val="center"/>
          </w:tcPr>
          <w:p w14:paraId="6B989244">
            <w:pPr>
              <w:pStyle w:val="59"/>
            </w:pPr>
            <w:r>
              <w:t>WSW</w:t>
            </w:r>
          </w:p>
        </w:tc>
        <w:tc>
          <w:tcPr>
            <w:tcW w:w="994" w:type="pct"/>
            <w:vAlign w:val="center"/>
          </w:tcPr>
          <w:p w14:paraId="3C8899E7">
            <w:pPr>
              <w:pStyle w:val="59"/>
            </w:pPr>
            <w:r>
              <w:t>202.5</w:t>
            </w:r>
          </w:p>
        </w:tc>
      </w:tr>
      <w:tr w14:paraId="334B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0162E7F1">
            <w:pPr>
              <w:pStyle w:val="59"/>
            </w:pPr>
            <w:r>
              <w:t>2</w:t>
            </w:r>
          </w:p>
        </w:tc>
        <w:tc>
          <w:tcPr>
            <w:tcW w:w="1166" w:type="pct"/>
            <w:vAlign w:val="center"/>
          </w:tcPr>
          <w:p w14:paraId="46857A67">
            <w:pPr>
              <w:pStyle w:val="59"/>
            </w:pPr>
            <w:r>
              <w:t>夏季</w:t>
            </w:r>
          </w:p>
        </w:tc>
        <w:tc>
          <w:tcPr>
            <w:tcW w:w="1187" w:type="pct"/>
            <w:vAlign w:val="center"/>
          </w:tcPr>
          <w:p w14:paraId="490D50C6">
            <w:pPr>
              <w:pStyle w:val="59"/>
            </w:pPr>
            <w:r>
              <w:t>4.60</w:t>
            </w:r>
          </w:p>
        </w:tc>
        <w:tc>
          <w:tcPr>
            <w:tcW w:w="994" w:type="pct"/>
            <w:vAlign w:val="center"/>
          </w:tcPr>
          <w:p w14:paraId="130A022F">
            <w:pPr>
              <w:pStyle w:val="59"/>
            </w:pPr>
            <w:r>
              <w:t>WSW</w:t>
            </w:r>
          </w:p>
        </w:tc>
        <w:tc>
          <w:tcPr>
            <w:tcW w:w="994" w:type="pct"/>
            <w:vAlign w:val="center"/>
          </w:tcPr>
          <w:p w14:paraId="419A1BAC">
            <w:pPr>
              <w:pStyle w:val="59"/>
            </w:pPr>
            <w:r>
              <w:t>202.5</w:t>
            </w:r>
          </w:p>
        </w:tc>
      </w:tr>
      <w:bookmarkEnd w:id="78"/>
    </w:tbl>
    <w:p w14:paraId="77D13DEE">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0C2D24DC">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2736000" cy="2649600"/>
                    </a:xfrm>
                    <a:prstGeom prst="rect">
                      <a:avLst/>
                    </a:prstGeom>
                  </pic:spPr>
                </pic:pic>
              </a:graphicData>
            </a:graphic>
          </wp:inline>
        </w:drawing>
      </w:r>
    </w:p>
    <w:p w14:paraId="3A7E994B">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29C9F28">
      <w:pPr>
        <w:pStyle w:val="4"/>
      </w:pPr>
      <w:bookmarkStart w:id="79" w:name="_Toc509844750"/>
      <w:bookmarkStart w:id="80" w:name="_Toc15292"/>
      <w:r>
        <w:rPr>
          <w:rFonts w:hint="eastAsia"/>
        </w:rPr>
        <w:t>冬季工况</w:t>
      </w:r>
      <w:bookmarkEnd w:id="79"/>
      <w:bookmarkEnd w:id="80"/>
    </w:p>
    <w:p w14:paraId="4BD36AB1">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4.70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WSW</w:t>
      </w:r>
      <w:bookmarkEnd w:id="82"/>
      <w:r>
        <w:rPr>
          <w:rFonts w:hint="eastAsia" w:ascii="微软雅黑" w:hAnsi="微软雅黑" w:eastAsia="微软雅黑"/>
          <w:szCs w:val="21"/>
        </w:rPr>
        <w:t>。</w:t>
      </w:r>
    </w:p>
    <w:p w14:paraId="6C69B95C">
      <w:pPr>
        <w:pStyle w:val="5"/>
      </w:pPr>
      <w:bookmarkStart w:id="83" w:name="_Toc509844751"/>
      <w:r>
        <w:rPr>
          <w:rFonts w:hint="eastAsia"/>
        </w:rPr>
        <w:t>人行区域风速达标分析</w:t>
      </w:r>
      <w:bookmarkEnd w:id="83"/>
      <w:r>
        <w:rPr>
          <w:rFonts w:hint="eastAsia"/>
        </w:rPr>
        <w:t xml:space="preserve"> </w:t>
      </w:r>
    </w:p>
    <w:p w14:paraId="3569B20A">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488C070D">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4" w:name="冬季工况人行区风速分析结论"/>
      <w:bookmarkEnd w:id="84"/>
      <w:r>
        <w:rPr>
          <w:rFonts w:ascii="微软雅黑" w:hAnsi="微软雅黑" w:eastAsia="微软雅黑"/>
          <w:lang w:val="en-US"/>
        </w:rPr>
        <w:t>未标示出超标区域，可知人行区域风速为最大值为3.14m/s，小于5m/s，</w:t>
      </w:r>
      <w:r>
        <w:rPr>
          <w:rFonts w:ascii="微软雅黑" w:hAnsi="微软雅黑" w:eastAsia="微软雅黑"/>
          <w:color w:val="0000FF"/>
          <w:lang w:val="en-US"/>
        </w:rPr>
        <w:t>满足</w:t>
      </w:r>
      <w:r>
        <w:rPr>
          <w:rFonts w:ascii="微软雅黑" w:hAnsi="微软雅黑" w:eastAsia="微软雅黑"/>
          <w:lang w:val="en-US"/>
        </w:rPr>
        <w:t>绿标要求。</w:t>
      </w:r>
    </w:p>
    <w:p w14:paraId="3CFC8D9E">
      <w:pPr>
        <w:pStyle w:val="3"/>
        <w:ind w:left="-6" w:leftChars="-3" w:firstLine="4" w:firstLineChars="2"/>
        <w:jc w:val="center"/>
        <w:rPr>
          <w:rFonts w:ascii="微软雅黑" w:hAnsi="微软雅黑" w:eastAsia="微软雅黑"/>
          <w:sz w:val="20"/>
          <w:szCs w:val="20"/>
        </w:rPr>
      </w:pPr>
      <w:bookmarkStart w:id="85" w:name="冬季工况人行区风速云图"/>
      <w:bookmarkEnd w:id="85"/>
      <w:r>
        <w:drawing>
          <wp:inline distT="0" distB="0" distL="0" distR="0">
            <wp:extent cx="5667375" cy="32480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248025"/>
                    </a:xfrm>
                    <a:prstGeom prst="rect">
                      <a:avLst/>
                    </a:prstGeom>
                  </pic:spPr>
                </pic:pic>
              </a:graphicData>
            </a:graphic>
          </wp:inline>
        </w:drawing>
      </w:r>
    </w:p>
    <w:p w14:paraId="5733B24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2257D238">
      <w:pPr>
        <w:pStyle w:val="3"/>
        <w:ind w:firstLine="420"/>
        <w:rPr>
          <w:rFonts w:ascii="微软雅黑" w:hAnsi="微软雅黑" w:eastAsia="微软雅黑"/>
          <w:lang w:val="en-US"/>
        </w:rPr>
      </w:pPr>
    </w:p>
    <w:p w14:paraId="3861E362">
      <w:pPr>
        <w:pStyle w:val="5"/>
      </w:pPr>
      <w:bookmarkStart w:id="86" w:name="_Toc509844752"/>
      <w:r>
        <w:rPr>
          <w:rFonts w:hint="eastAsia"/>
        </w:rPr>
        <w:t>人行区域风速放大系数达标分析</w:t>
      </w:r>
      <w:bookmarkEnd w:id="86"/>
    </w:p>
    <w:p w14:paraId="4AE0862F">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图中未标示出风速放大系数超标区域，因此可知人行区域风速放大系数最大值为1.13，小于2，</w:t>
      </w:r>
      <w:r>
        <w:rPr>
          <w:rFonts w:ascii="微软雅黑" w:hAnsi="微软雅黑" w:eastAsia="微软雅黑"/>
          <w:color w:val="0000FF"/>
          <w:lang w:val="en-US"/>
        </w:rPr>
        <w:t>满足</w:t>
      </w:r>
      <w:r>
        <w:rPr>
          <w:rFonts w:ascii="微软雅黑" w:hAnsi="微软雅黑" w:eastAsia="微软雅黑"/>
          <w:lang w:val="en-US"/>
        </w:rPr>
        <w:t>绿标要求。</w:t>
      </w:r>
    </w:p>
    <w:p w14:paraId="354FF697">
      <w:pPr>
        <w:jc w:val="center"/>
        <w:rPr>
          <w:rFonts w:ascii="微软雅黑" w:hAnsi="微软雅黑" w:eastAsia="微软雅黑"/>
        </w:rPr>
      </w:pPr>
      <w:bookmarkStart w:id="88" w:name="冬季工况人行区风速放大系数云图"/>
      <w:bookmarkEnd w:id="88"/>
      <w:r>
        <w:drawing>
          <wp:inline distT="0" distB="0" distL="0" distR="0">
            <wp:extent cx="5667375" cy="32480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248025"/>
                    </a:xfrm>
                    <a:prstGeom prst="rect">
                      <a:avLst/>
                    </a:prstGeom>
                  </pic:spPr>
                </pic:pic>
              </a:graphicData>
            </a:graphic>
          </wp:inline>
        </w:drawing>
      </w:r>
    </w:p>
    <w:p w14:paraId="68D46EAE">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6E3546D8">
      <w:pPr>
        <w:pStyle w:val="3"/>
        <w:ind w:firstLine="420"/>
        <w:rPr>
          <w:rFonts w:ascii="微软雅黑" w:hAnsi="微软雅黑" w:eastAsia="微软雅黑"/>
          <w:lang w:val="en-US"/>
        </w:rPr>
      </w:pPr>
    </w:p>
    <w:p w14:paraId="6C66CC14">
      <w:pPr>
        <w:pStyle w:val="5"/>
      </w:pPr>
      <w:r>
        <w:rPr>
          <w:rFonts w:hint="eastAsia"/>
        </w:rPr>
        <w:t>户外休息区、儿童娱乐区</w:t>
      </w:r>
      <w:r>
        <w:t>域风速达标分析</w:t>
      </w:r>
    </w:p>
    <w:p w14:paraId="13E12505">
      <w:pPr>
        <w:pStyle w:val="3"/>
        <w:ind w:firstLine="420"/>
        <w:rPr>
          <w:rFonts w:ascii="微软雅黑" w:hAnsi="微软雅黑" w:eastAsia="微软雅黑"/>
          <w:lang w:val="en-US"/>
        </w:rPr>
      </w:pPr>
      <w:bookmarkStart w:id="89" w:name="冬季工况户外休息区和儿童娱乐区风速达标分析"/>
      <w:r>
        <w:rPr>
          <w:rFonts w:hint="eastAsia" w:ascii="微软雅黑" w:hAnsi="微软雅黑" w:eastAsia="微软雅黑"/>
          <w:lang w:val="en-US"/>
        </w:rPr>
        <w:t>（本项目未划分户外休息区、儿童娱乐区）</w:t>
      </w:r>
    </w:p>
    <w:bookmarkEnd w:id="89"/>
    <w:p w14:paraId="2D89FC43">
      <w:pPr>
        <w:pStyle w:val="5"/>
      </w:pPr>
      <w:r>
        <w:rPr>
          <w:rFonts w:hint="eastAsia"/>
        </w:rPr>
        <w:t>户外休息区、儿童娱乐区风速放大系数达标</w:t>
      </w:r>
      <w:r>
        <w:t>分析</w:t>
      </w:r>
    </w:p>
    <w:p w14:paraId="5804BEB5">
      <w:pPr>
        <w:pStyle w:val="3"/>
        <w:ind w:firstLine="420"/>
        <w:rPr>
          <w:rFonts w:ascii="微软雅黑" w:hAnsi="微软雅黑" w:eastAsia="微软雅黑"/>
          <w:lang w:val="en-US"/>
        </w:rPr>
      </w:pPr>
      <w:bookmarkStart w:id="90" w:name="冬季工况户外休息区和儿童娱乐区风速放大系数达标分析"/>
      <w:r>
        <w:rPr>
          <w:rFonts w:hint="eastAsia" w:ascii="微软雅黑" w:hAnsi="微软雅黑" w:eastAsia="微软雅黑"/>
          <w:lang w:val="en-US"/>
        </w:rPr>
        <w:t>（本项目未划分户外休息区、儿童娱乐区）</w:t>
      </w:r>
    </w:p>
    <w:bookmarkEnd w:id="90"/>
    <w:p w14:paraId="669438E9">
      <w:pPr>
        <w:pStyle w:val="3"/>
        <w:ind w:firstLine="420"/>
        <w:rPr>
          <w:rFonts w:ascii="微软雅黑" w:hAnsi="微软雅黑" w:eastAsia="微软雅黑"/>
          <w:lang w:val="en-US"/>
        </w:rPr>
      </w:pPr>
    </w:p>
    <w:p w14:paraId="68174FC0">
      <w:pPr>
        <w:pStyle w:val="37"/>
        <w:spacing w:line="440" w:lineRule="exact"/>
        <w:ind w:firstLine="420"/>
        <w:rPr>
          <w:szCs w:val="21"/>
        </w:rPr>
      </w:pPr>
      <w:r>
        <w:rPr>
          <w:rFonts w:hint="eastAsia"/>
          <w:szCs w:val="21"/>
        </w:rPr>
        <w:t>注：</w:t>
      </w:r>
    </w:p>
    <w:p w14:paraId="5D3C41A4">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3BA1ABBA">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3268E64C">
      <w:pPr>
        <w:pStyle w:val="37"/>
        <w:spacing w:line="440" w:lineRule="exact"/>
        <w:ind w:firstLine="420"/>
        <w:rPr>
          <w:szCs w:val="21"/>
        </w:rPr>
      </w:pPr>
      <w:r>
        <w:rPr>
          <w:rFonts w:hint="eastAsia"/>
          <w:szCs w:val="21"/>
        </w:rPr>
        <w:t>3）通常将1.5米作为一般人群的参考行走高度，也可酌情调整人行走高度。</w:t>
      </w:r>
    </w:p>
    <w:p w14:paraId="5A79414F">
      <w:pPr>
        <w:pStyle w:val="3"/>
        <w:ind w:firstLine="420"/>
        <w:rPr>
          <w:rFonts w:ascii="微软雅黑" w:hAnsi="微软雅黑" w:eastAsia="微软雅黑"/>
          <w:lang w:val="en-US"/>
        </w:rPr>
      </w:pPr>
    </w:p>
    <w:p w14:paraId="7426156D">
      <w:pPr>
        <w:pStyle w:val="5"/>
      </w:pPr>
      <w:bookmarkStart w:id="91" w:name="_Toc509844753"/>
      <w:r>
        <w:rPr>
          <w:rFonts w:hint="eastAsia"/>
        </w:rPr>
        <w:t>冬季工况风速/风速放大系数达标</w:t>
      </w:r>
      <w:bookmarkEnd w:id="91"/>
      <w:r>
        <w:rPr>
          <w:rFonts w:hint="eastAsia"/>
        </w:rPr>
        <w:t>结果汇总</w:t>
      </w:r>
    </w:p>
    <w:p w14:paraId="6CC0248B">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5CC7B80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217B64E6">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1E9CE08">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8E9BCBA">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B17224A">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6AAF8F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7B00AEDF">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2EE95E02">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253B6A21">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4F096AB5">
            <w:pPr>
              <w:spacing w:line="240" w:lineRule="auto"/>
              <w:jc w:val="center"/>
              <w:rPr>
                <w:rFonts w:ascii="微软雅黑" w:hAnsi="微软雅黑" w:eastAsia="微软雅黑" w:cs="宋体"/>
                <w:color w:val="000000"/>
                <w:sz w:val="18"/>
                <w:szCs w:val="18"/>
                <w:lang w:val="en-US"/>
              </w:rPr>
            </w:pPr>
            <w:bookmarkStart w:id="92" w:name="冬季工况风速是否有超限区域"/>
            <w:r>
              <w:rPr>
                <w:rFonts w:hint="eastAsia" w:ascii="微软雅黑" w:hAnsi="微软雅黑" w:eastAsia="微软雅黑" w:cs="宋体"/>
                <w:color w:val="000000"/>
                <w:sz w:val="18"/>
                <w:szCs w:val="18"/>
                <w:lang w:val="en-US"/>
              </w:rPr>
              <w:t>否</w:t>
            </w:r>
            <w:bookmarkEnd w:id="92"/>
          </w:p>
        </w:tc>
        <w:tc>
          <w:tcPr>
            <w:tcW w:w="1275" w:type="dxa"/>
            <w:tcBorders>
              <w:top w:val="nil"/>
              <w:left w:val="nil"/>
              <w:bottom w:val="single" w:color="auto" w:sz="4" w:space="0"/>
              <w:right w:val="single" w:color="auto" w:sz="4" w:space="0"/>
            </w:tcBorders>
            <w:shd w:val="clear" w:color="auto" w:fill="auto"/>
            <w:noWrap/>
            <w:vAlign w:val="center"/>
          </w:tcPr>
          <w:p w14:paraId="5CDC9247">
            <w:pPr>
              <w:spacing w:line="240" w:lineRule="auto"/>
              <w:jc w:val="center"/>
              <w:rPr>
                <w:rFonts w:ascii="微软雅黑" w:hAnsi="微软雅黑" w:eastAsia="微软雅黑" w:cs="宋体"/>
                <w:color w:val="000000"/>
                <w:sz w:val="18"/>
                <w:szCs w:val="18"/>
                <w:lang w:val="en-US"/>
              </w:rPr>
            </w:pPr>
            <w:bookmarkStart w:id="93" w:name="冬季工况风速达标判断"/>
            <w:r>
              <w:rPr>
                <w:rFonts w:hint="eastAsia" w:ascii="微软雅黑" w:hAnsi="微软雅黑" w:eastAsia="微软雅黑" w:cs="宋体"/>
                <w:color w:val="000000"/>
                <w:sz w:val="18"/>
                <w:szCs w:val="18"/>
                <w:lang w:val="en-US"/>
              </w:rPr>
              <w:t>是</w:t>
            </w:r>
            <w:bookmarkEnd w:id="93"/>
          </w:p>
        </w:tc>
      </w:tr>
      <w:tr w14:paraId="1C1F121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E67F">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343770C">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1147686">
            <w:pPr>
              <w:spacing w:line="240" w:lineRule="auto"/>
              <w:jc w:val="center"/>
              <w:rPr>
                <w:rFonts w:ascii="微软雅黑" w:hAnsi="微软雅黑" w:eastAsia="微软雅黑" w:cs="宋体"/>
                <w:color w:val="000000"/>
                <w:sz w:val="18"/>
                <w:szCs w:val="18"/>
                <w:lang w:val="en-US"/>
              </w:rPr>
            </w:pPr>
            <w:bookmarkStart w:id="94" w:name="冬季工况风速放大系数是否有超限区域"/>
            <w:r>
              <w:rPr>
                <w:rFonts w:hint="eastAsia" w:ascii="微软雅黑" w:hAnsi="微软雅黑" w:eastAsia="微软雅黑" w:cs="宋体"/>
                <w:color w:val="000000"/>
                <w:sz w:val="18"/>
                <w:szCs w:val="18"/>
                <w:lang w:val="en-US"/>
              </w:rPr>
              <w:t>否</w:t>
            </w:r>
            <w:bookmarkEnd w:id="9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358D2D0">
            <w:pPr>
              <w:spacing w:line="240" w:lineRule="auto"/>
              <w:jc w:val="center"/>
              <w:rPr>
                <w:rFonts w:ascii="微软雅黑" w:hAnsi="微软雅黑" w:eastAsia="微软雅黑" w:cs="宋体"/>
                <w:color w:val="000000"/>
                <w:sz w:val="18"/>
                <w:szCs w:val="18"/>
                <w:lang w:val="en-US"/>
              </w:rPr>
            </w:pPr>
            <w:bookmarkStart w:id="95" w:name="冬季工况风速放大系数达标判断"/>
            <w:r>
              <w:rPr>
                <w:rFonts w:hint="eastAsia" w:ascii="微软雅黑" w:hAnsi="微软雅黑" w:eastAsia="微软雅黑" w:cs="宋体"/>
                <w:color w:val="000000"/>
                <w:sz w:val="18"/>
                <w:szCs w:val="18"/>
                <w:lang w:val="en-US"/>
              </w:rPr>
              <w:t>是</w:t>
            </w:r>
            <w:bookmarkEnd w:id="95"/>
          </w:p>
        </w:tc>
      </w:tr>
      <w:tr w14:paraId="12E42B18">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FAF2A">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9E39D4F">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5E91CFD">
            <w:pPr>
              <w:spacing w:line="240" w:lineRule="auto"/>
              <w:jc w:val="center"/>
              <w:rPr>
                <w:rFonts w:ascii="微软雅黑" w:hAnsi="微软雅黑" w:eastAsia="微软雅黑" w:cs="宋体"/>
                <w:color w:val="000000"/>
                <w:sz w:val="18"/>
                <w:szCs w:val="18"/>
                <w:lang w:val="en-US"/>
              </w:rPr>
            </w:pPr>
            <w:bookmarkStart w:id="96" w:name="冬季工况休息区风速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CCD8EF1">
            <w:pPr>
              <w:spacing w:line="240" w:lineRule="auto"/>
              <w:jc w:val="center"/>
              <w:rPr>
                <w:rFonts w:ascii="微软雅黑" w:hAnsi="微软雅黑" w:eastAsia="微软雅黑" w:cs="宋体"/>
                <w:color w:val="000000"/>
                <w:sz w:val="18"/>
                <w:szCs w:val="18"/>
                <w:lang w:val="en-US"/>
              </w:rPr>
            </w:pPr>
            <w:bookmarkStart w:id="97" w:name="冬季工况休息区风速达标判断"/>
            <w:r>
              <w:rPr>
                <w:rFonts w:hint="eastAsia" w:ascii="微软雅黑" w:hAnsi="微软雅黑" w:eastAsia="微软雅黑" w:cs="宋体"/>
                <w:color w:val="000000"/>
                <w:sz w:val="18"/>
                <w:szCs w:val="18"/>
                <w:lang w:val="en-US"/>
              </w:rPr>
              <w:t>是</w:t>
            </w:r>
            <w:bookmarkEnd w:id="97"/>
          </w:p>
        </w:tc>
      </w:tr>
      <w:tr w14:paraId="7064073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208A7">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3B44194">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98" w:name="冬季工况休息区和儿童娱乐区风速放大系数标准要求限值"/>
            <w:r>
              <w:rPr>
                <w:rFonts w:ascii="微软雅黑" w:hAnsi="微软雅黑" w:eastAsia="微软雅黑" w:cs="宋体"/>
                <w:sz w:val="18"/>
                <w:szCs w:val="18"/>
              </w:rPr>
              <w:t>2</w:t>
            </w:r>
            <w:bookmarkEnd w:id="98"/>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1ABE79A">
            <w:pPr>
              <w:spacing w:line="240" w:lineRule="auto"/>
              <w:jc w:val="center"/>
              <w:rPr>
                <w:rFonts w:ascii="微软雅黑" w:hAnsi="微软雅黑" w:eastAsia="微软雅黑" w:cs="宋体"/>
                <w:color w:val="000000"/>
                <w:sz w:val="18"/>
                <w:szCs w:val="18"/>
                <w:lang w:val="en-US"/>
              </w:rPr>
            </w:pPr>
            <w:bookmarkStart w:id="99" w:name="冬季工况户外休息区风速放大系数是否有超限区域"/>
            <w:r>
              <w:rPr>
                <w:rFonts w:hint="eastAsia" w:ascii="微软雅黑" w:hAnsi="微软雅黑" w:eastAsia="微软雅黑" w:cs="宋体"/>
                <w:color w:val="000000"/>
                <w:sz w:val="18"/>
                <w:szCs w:val="18"/>
                <w:lang w:val="en-US"/>
              </w:rPr>
              <w:t>否</w:t>
            </w:r>
            <w:bookmarkEnd w:id="99"/>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4028DE8">
            <w:pPr>
              <w:spacing w:line="240" w:lineRule="auto"/>
              <w:jc w:val="center"/>
              <w:rPr>
                <w:rFonts w:ascii="微软雅黑" w:hAnsi="微软雅黑" w:eastAsia="微软雅黑" w:cs="宋体"/>
                <w:color w:val="000000"/>
                <w:sz w:val="18"/>
                <w:szCs w:val="18"/>
                <w:lang w:val="en-US"/>
              </w:rPr>
            </w:pPr>
            <w:bookmarkStart w:id="100" w:name="冬季工况户外休息区风速放大系数达标判断"/>
            <w:r>
              <w:rPr>
                <w:rFonts w:hint="eastAsia" w:ascii="微软雅黑" w:hAnsi="微软雅黑" w:eastAsia="微软雅黑" w:cs="宋体"/>
                <w:color w:val="000000"/>
                <w:sz w:val="18"/>
                <w:szCs w:val="18"/>
                <w:lang w:val="en-US"/>
              </w:rPr>
              <w:t>是</w:t>
            </w:r>
            <w:bookmarkEnd w:id="100"/>
          </w:p>
        </w:tc>
      </w:tr>
    </w:tbl>
    <w:p w14:paraId="59956976">
      <w:pPr>
        <w:rPr>
          <w:rFonts w:ascii="微软雅黑" w:hAnsi="微软雅黑" w:eastAsia="微软雅黑"/>
        </w:rPr>
      </w:pPr>
    </w:p>
    <w:p w14:paraId="23231239">
      <w:pPr>
        <w:pStyle w:val="5"/>
      </w:pPr>
      <w:r>
        <w:rPr>
          <w:rFonts w:hint="eastAsia"/>
        </w:rPr>
        <w:t>建筑迎风面和背风面风压分析</w:t>
      </w:r>
      <w:bookmarkEnd w:id="14"/>
    </w:p>
    <w:p w14:paraId="7F6D657E">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2AF685C">
      <w:pPr>
        <w:pStyle w:val="6"/>
        <w:rPr>
          <w:lang w:val="en-US"/>
        </w:rPr>
      </w:pPr>
      <w:r>
        <w:rPr>
          <w:rFonts w:hint="eastAsia"/>
          <w:lang w:val="en-US"/>
        </w:rPr>
        <w:t>建筑迎风面和背风面风压差计算方法</w:t>
      </w:r>
    </w:p>
    <w:p w14:paraId="10B6919F">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70983B07">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D8F73E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2693D283">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0499CC8C">
        <w:tblPrEx>
          <w:tblCellMar>
            <w:top w:w="0" w:type="dxa"/>
            <w:left w:w="108" w:type="dxa"/>
            <w:bottom w:w="0" w:type="dxa"/>
            <w:right w:w="108" w:type="dxa"/>
          </w:tblCellMar>
        </w:tblPrEx>
        <w:tc>
          <w:tcPr>
            <w:tcW w:w="6658" w:type="dxa"/>
            <w:shd w:val="clear" w:color="auto" w:fill="auto"/>
          </w:tcPr>
          <w:p w14:paraId="5E7AB830">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3273B605">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25083E24">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6C141B12">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574AF29">
      <w:pPr>
        <w:pStyle w:val="6"/>
      </w:pPr>
      <w:r>
        <w:rPr>
          <w:rFonts w:hint="eastAsia"/>
        </w:rPr>
        <w:t>建筑迎风面和背风面风压云图</w:t>
      </w:r>
    </w:p>
    <w:p w14:paraId="7F2B0269">
      <w:pPr>
        <w:jc w:val="center"/>
        <w:rPr>
          <w:rFonts w:ascii="微软雅黑" w:hAnsi="微软雅黑" w:eastAsia="微软雅黑"/>
          <w:lang w:val="en-US"/>
        </w:rPr>
      </w:pPr>
      <w:bookmarkStart w:id="101" w:name="冬季工况建筑迎风面风压云图"/>
      <w:bookmarkEnd w:id="101"/>
      <w:r>
        <w:drawing>
          <wp:inline distT="0" distB="0" distL="0" distR="0">
            <wp:extent cx="5667375" cy="3352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352800"/>
                    </a:xfrm>
                    <a:prstGeom prst="rect">
                      <a:avLst/>
                    </a:prstGeom>
                  </pic:spPr>
                </pic:pic>
              </a:graphicData>
            </a:graphic>
          </wp:inline>
        </w:drawing>
      </w:r>
    </w:p>
    <w:p w14:paraId="6C32B02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BAEADD6">
      <w:pPr>
        <w:jc w:val="center"/>
        <w:rPr>
          <w:rFonts w:ascii="微软雅黑" w:hAnsi="微软雅黑" w:eastAsia="微软雅黑"/>
        </w:rPr>
      </w:pPr>
      <w:bookmarkStart w:id="102" w:name="冬季工况建筑背风面风压云图"/>
      <w:bookmarkEnd w:id="102"/>
      <w:r>
        <w:drawing>
          <wp:inline distT="0" distB="0" distL="0" distR="0">
            <wp:extent cx="5667375" cy="3362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5"/>
                    <a:stretch>
                      <a:fillRect/>
                    </a:stretch>
                  </pic:blipFill>
                  <pic:spPr>
                    <a:xfrm>
                      <a:off x="0" y="0"/>
                      <a:ext cx="5667375" cy="3362325"/>
                    </a:xfrm>
                    <a:prstGeom prst="rect">
                      <a:avLst/>
                    </a:prstGeom>
                  </pic:spPr>
                </pic:pic>
              </a:graphicData>
            </a:graphic>
          </wp:inline>
        </w:drawing>
      </w:r>
    </w:p>
    <w:p w14:paraId="1281675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65B286CC">
      <w:pPr>
        <w:pStyle w:val="6"/>
      </w:pPr>
      <w:bookmarkStart w:id="103" w:name="建筑迎风面和背风面风压差计算结果"/>
      <w:r>
        <w:rPr>
          <w:rFonts w:hint="eastAsia"/>
        </w:rPr>
        <w:t>建筑迎风面和背风面风压差计算结果</w:t>
      </w:r>
    </w:p>
    <w:p w14:paraId="2C9FCE4B">
      <w:pPr>
        <w:jc w:val="center"/>
        <w:rPr>
          <w:sz w:val="18"/>
          <w:szCs w:val="18"/>
        </w:rPr>
      </w:pPr>
      <w:bookmarkStart w:id="104"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5" w:name="建筑迎背风面风压差表_建筑名"/>
      <w:r>
        <w:rPr>
          <w:sz w:val="18"/>
          <w:szCs w:val="18"/>
        </w:rPr>
        <w:t>单体</w:t>
      </w:r>
      <w:bookmarkEnd w:id="105"/>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1CD5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6B110545">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0F89893B">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14321D3F">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1334365E">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034FD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B71AE2F">
            <w:pPr>
              <w:jc w:val="center"/>
              <w:rPr>
                <w:sz w:val="18"/>
                <w:szCs w:val="18"/>
                <w:lang w:val="en-US"/>
              </w:rPr>
            </w:pPr>
            <w:r>
              <w:rPr>
                <w:rFonts w:hint="eastAsia"/>
                <w:sz w:val="18"/>
                <w:szCs w:val="18"/>
                <w:lang w:val="en-US"/>
              </w:rPr>
              <w:t>1层</w:t>
            </w:r>
          </w:p>
        </w:tc>
        <w:tc>
          <w:tcPr>
            <w:tcW w:w="2410" w:type="dxa"/>
            <w:vAlign w:val="center"/>
          </w:tcPr>
          <w:p w14:paraId="1A001CEE">
            <w:pPr>
              <w:jc w:val="center"/>
              <w:rPr>
                <w:sz w:val="18"/>
                <w:szCs w:val="18"/>
                <w:lang w:val="en-US"/>
              </w:rPr>
            </w:pPr>
            <w:r>
              <w:rPr>
                <w:sz w:val="18"/>
                <w:szCs w:val="18"/>
                <w:lang w:val="en-US"/>
              </w:rPr>
              <w:t>3.60</w:t>
            </w:r>
          </w:p>
        </w:tc>
        <w:tc>
          <w:tcPr>
            <w:tcW w:w="2278" w:type="dxa"/>
            <w:vAlign w:val="center"/>
          </w:tcPr>
          <w:p w14:paraId="68BF94CC">
            <w:pPr>
              <w:jc w:val="center"/>
              <w:rPr>
                <w:sz w:val="18"/>
                <w:szCs w:val="18"/>
                <w:lang w:val="en-US"/>
              </w:rPr>
            </w:pPr>
            <w:r>
              <w:rPr>
                <w:sz w:val="18"/>
                <w:szCs w:val="18"/>
                <w:lang w:val="en-US"/>
              </w:rPr>
              <w:t>-7.52</w:t>
            </w:r>
          </w:p>
        </w:tc>
        <w:tc>
          <w:tcPr>
            <w:tcW w:w="2420" w:type="dxa"/>
            <w:vAlign w:val="center"/>
          </w:tcPr>
          <w:p w14:paraId="4FA0D3DA">
            <w:pPr>
              <w:jc w:val="center"/>
              <w:rPr>
                <w:sz w:val="18"/>
                <w:szCs w:val="18"/>
                <w:lang w:val="en-US"/>
              </w:rPr>
            </w:pPr>
            <w:r>
              <w:rPr>
                <w:sz w:val="18"/>
                <w:szCs w:val="18"/>
                <w:lang w:val="en-US"/>
              </w:rPr>
              <w:t>11.12</w:t>
            </w:r>
          </w:p>
        </w:tc>
      </w:tr>
      <w:tr w14:paraId="4A690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C952A95">
            <w:pPr>
              <w:jc w:val="center"/>
              <w:rPr>
                <w:sz w:val="18"/>
                <w:szCs w:val="18"/>
                <w:lang w:val="en-US"/>
              </w:rPr>
            </w:pPr>
            <w:r>
              <w:rPr>
                <w:sz w:val="18"/>
                <w:szCs w:val="18"/>
                <w:lang w:val="en-US"/>
              </w:rPr>
              <w:t>2层</w:t>
            </w:r>
          </w:p>
        </w:tc>
        <w:tc>
          <w:tcPr>
            <w:tcW w:w="2410" w:type="dxa"/>
            <w:vAlign w:val="center"/>
          </w:tcPr>
          <w:p w14:paraId="4F26F6FB">
            <w:pPr>
              <w:jc w:val="center"/>
              <w:rPr>
                <w:sz w:val="18"/>
                <w:szCs w:val="18"/>
                <w:lang w:val="en-US"/>
              </w:rPr>
            </w:pPr>
            <w:r>
              <w:rPr>
                <w:sz w:val="18"/>
                <w:szCs w:val="18"/>
                <w:lang w:val="en-US"/>
              </w:rPr>
              <w:t>-2.55</w:t>
            </w:r>
          </w:p>
        </w:tc>
        <w:tc>
          <w:tcPr>
            <w:tcW w:w="2278" w:type="dxa"/>
            <w:vAlign w:val="center"/>
          </w:tcPr>
          <w:p w14:paraId="5F021620">
            <w:pPr>
              <w:jc w:val="center"/>
              <w:rPr>
                <w:sz w:val="18"/>
                <w:szCs w:val="18"/>
                <w:lang w:val="en-US"/>
              </w:rPr>
            </w:pPr>
            <w:r>
              <w:rPr>
                <w:sz w:val="18"/>
                <w:szCs w:val="18"/>
                <w:lang w:val="en-US"/>
              </w:rPr>
              <w:t>-2.52</w:t>
            </w:r>
          </w:p>
        </w:tc>
        <w:tc>
          <w:tcPr>
            <w:tcW w:w="2420" w:type="dxa"/>
            <w:vAlign w:val="center"/>
          </w:tcPr>
          <w:p w14:paraId="68429185">
            <w:pPr>
              <w:jc w:val="center"/>
              <w:rPr>
                <w:sz w:val="18"/>
                <w:szCs w:val="18"/>
                <w:lang w:val="en-US"/>
              </w:rPr>
            </w:pPr>
            <w:r>
              <w:rPr>
                <w:sz w:val="18"/>
                <w:szCs w:val="18"/>
                <w:lang w:val="en-US"/>
              </w:rPr>
              <w:t>-0.03</w:t>
            </w:r>
          </w:p>
        </w:tc>
      </w:tr>
      <w:tr w14:paraId="524A2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F52B0AD">
            <w:pPr>
              <w:jc w:val="center"/>
              <w:rPr>
                <w:sz w:val="18"/>
                <w:szCs w:val="18"/>
                <w:lang w:val="en-US"/>
              </w:rPr>
            </w:pPr>
            <w:r>
              <w:rPr>
                <w:sz w:val="18"/>
                <w:szCs w:val="18"/>
                <w:lang w:val="en-US"/>
              </w:rPr>
              <w:t>3层</w:t>
            </w:r>
          </w:p>
        </w:tc>
        <w:tc>
          <w:tcPr>
            <w:tcW w:w="2410" w:type="dxa"/>
            <w:vAlign w:val="center"/>
          </w:tcPr>
          <w:p w14:paraId="68F73387">
            <w:pPr>
              <w:jc w:val="center"/>
              <w:rPr>
                <w:sz w:val="18"/>
                <w:szCs w:val="18"/>
                <w:lang w:val="en-US"/>
              </w:rPr>
            </w:pPr>
            <w:r>
              <w:rPr>
                <w:sz w:val="18"/>
                <w:szCs w:val="18"/>
                <w:lang w:val="en-US"/>
              </w:rPr>
              <w:t>3.14</w:t>
            </w:r>
          </w:p>
        </w:tc>
        <w:tc>
          <w:tcPr>
            <w:tcW w:w="2278" w:type="dxa"/>
            <w:vAlign w:val="center"/>
          </w:tcPr>
          <w:p w14:paraId="2DEF68D8">
            <w:pPr>
              <w:jc w:val="center"/>
              <w:rPr>
                <w:sz w:val="18"/>
                <w:szCs w:val="18"/>
                <w:lang w:val="en-US"/>
              </w:rPr>
            </w:pPr>
            <w:r>
              <w:rPr>
                <w:sz w:val="18"/>
                <w:szCs w:val="18"/>
                <w:lang w:val="en-US"/>
              </w:rPr>
              <w:t>-2.35</w:t>
            </w:r>
          </w:p>
        </w:tc>
        <w:tc>
          <w:tcPr>
            <w:tcW w:w="2420" w:type="dxa"/>
            <w:vAlign w:val="center"/>
          </w:tcPr>
          <w:p w14:paraId="6252D60E">
            <w:pPr>
              <w:jc w:val="center"/>
              <w:rPr>
                <w:sz w:val="18"/>
                <w:szCs w:val="18"/>
                <w:lang w:val="en-US"/>
              </w:rPr>
            </w:pPr>
            <w:r>
              <w:rPr>
                <w:sz w:val="18"/>
                <w:szCs w:val="18"/>
                <w:lang w:val="en-US"/>
              </w:rPr>
              <w:t>5.49</w:t>
            </w:r>
          </w:p>
        </w:tc>
      </w:tr>
      <w:tr w14:paraId="1F146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39256FA8">
            <w:pPr>
              <w:jc w:val="center"/>
              <w:rPr>
                <w:sz w:val="18"/>
                <w:szCs w:val="18"/>
                <w:lang w:val="en-US"/>
              </w:rPr>
            </w:pPr>
            <w:r>
              <w:rPr>
                <w:rFonts w:hint="eastAsia"/>
                <w:sz w:val="18"/>
                <w:szCs w:val="18"/>
                <w:lang w:val="en-US"/>
              </w:rPr>
              <w:t>4层</w:t>
            </w:r>
          </w:p>
        </w:tc>
        <w:tc>
          <w:tcPr>
            <w:tcW w:w="2410" w:type="dxa"/>
            <w:vAlign w:val="center"/>
          </w:tcPr>
          <w:p w14:paraId="7C84C5BD">
            <w:pPr>
              <w:jc w:val="center"/>
              <w:rPr>
                <w:sz w:val="18"/>
                <w:szCs w:val="18"/>
                <w:lang w:val="en-US"/>
              </w:rPr>
            </w:pPr>
            <w:r>
              <w:rPr>
                <w:sz w:val="18"/>
                <w:szCs w:val="18"/>
                <w:lang w:val="en-US"/>
              </w:rPr>
              <w:t>-3.58</w:t>
            </w:r>
          </w:p>
        </w:tc>
        <w:tc>
          <w:tcPr>
            <w:tcW w:w="2278" w:type="dxa"/>
            <w:vAlign w:val="center"/>
          </w:tcPr>
          <w:p w14:paraId="675101FA">
            <w:pPr>
              <w:jc w:val="center"/>
              <w:rPr>
                <w:sz w:val="18"/>
                <w:szCs w:val="18"/>
                <w:lang w:val="en-US"/>
              </w:rPr>
            </w:pPr>
            <w:r>
              <w:rPr>
                <w:sz w:val="18"/>
                <w:szCs w:val="18"/>
                <w:lang w:val="en-US"/>
              </w:rPr>
              <w:t>0.00</w:t>
            </w:r>
          </w:p>
        </w:tc>
        <w:tc>
          <w:tcPr>
            <w:tcW w:w="2420" w:type="dxa"/>
            <w:vAlign w:val="center"/>
          </w:tcPr>
          <w:p w14:paraId="347D0D9C">
            <w:pPr>
              <w:jc w:val="center"/>
              <w:rPr>
                <w:sz w:val="18"/>
                <w:szCs w:val="18"/>
                <w:lang w:val="en-US"/>
              </w:rPr>
            </w:pPr>
            <w:r>
              <w:rPr>
                <w:sz w:val="18"/>
                <w:szCs w:val="18"/>
                <w:lang w:val="en-US"/>
              </w:rPr>
              <w:t>-3.58</w:t>
            </w:r>
          </w:p>
        </w:tc>
      </w:tr>
      <w:tr w14:paraId="518E3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7B8F6179">
            <w:pPr>
              <w:jc w:val="center"/>
              <w:rPr>
                <w:sz w:val="18"/>
                <w:szCs w:val="18"/>
                <w:lang w:val="en-US"/>
              </w:rPr>
            </w:pPr>
            <w:r>
              <w:rPr>
                <w:rFonts w:hint="eastAsia"/>
                <w:sz w:val="18"/>
                <w:szCs w:val="18"/>
                <w:lang w:val="en-US"/>
              </w:rPr>
              <w:t>整楼</w:t>
            </w:r>
          </w:p>
        </w:tc>
        <w:tc>
          <w:tcPr>
            <w:tcW w:w="2410" w:type="dxa"/>
            <w:vAlign w:val="center"/>
          </w:tcPr>
          <w:p w14:paraId="39149DA9">
            <w:pPr>
              <w:jc w:val="center"/>
              <w:rPr>
                <w:sz w:val="18"/>
                <w:szCs w:val="18"/>
                <w:lang w:val="en-US"/>
              </w:rPr>
            </w:pPr>
            <w:r>
              <w:rPr>
                <w:sz w:val="18"/>
                <w:szCs w:val="18"/>
                <w:lang w:val="en-US"/>
              </w:rPr>
              <w:t>-1.34</w:t>
            </w:r>
          </w:p>
        </w:tc>
        <w:tc>
          <w:tcPr>
            <w:tcW w:w="2278" w:type="dxa"/>
            <w:vAlign w:val="center"/>
          </w:tcPr>
          <w:p w14:paraId="6BAB888E">
            <w:pPr>
              <w:jc w:val="center"/>
              <w:rPr>
                <w:sz w:val="18"/>
                <w:szCs w:val="18"/>
                <w:lang w:val="en-US"/>
              </w:rPr>
            </w:pPr>
            <w:r>
              <w:rPr>
                <w:sz w:val="18"/>
                <w:szCs w:val="18"/>
                <w:lang w:val="en-US"/>
              </w:rPr>
              <w:t>-4.10</w:t>
            </w:r>
          </w:p>
        </w:tc>
        <w:tc>
          <w:tcPr>
            <w:tcW w:w="2420" w:type="dxa"/>
            <w:vAlign w:val="center"/>
          </w:tcPr>
          <w:p w14:paraId="13CA3F42">
            <w:pPr>
              <w:jc w:val="center"/>
              <w:rPr>
                <w:sz w:val="18"/>
                <w:szCs w:val="18"/>
                <w:lang w:val="en-US"/>
              </w:rPr>
            </w:pPr>
            <w:r>
              <w:rPr>
                <w:sz w:val="18"/>
                <w:szCs w:val="18"/>
                <w:lang w:val="en-US"/>
              </w:rPr>
              <w:t>2.76</w:t>
            </w:r>
          </w:p>
        </w:tc>
      </w:tr>
      <w:bookmarkEnd w:id="104"/>
    </w:tbl>
    <w:p w14:paraId="2C2C4156">
      <w:bookmarkStart w:id="106" w:name="结论"/>
      <w:bookmarkEnd w:id="106"/>
      <w:r>
        <w:t>标准要求：迎背风面窗平均风压差（绝对值）≤5Pa。结论：该楼</w:t>
      </w:r>
      <w:r>
        <w:rPr>
          <w:b/>
          <w:color w:val="0000FF"/>
        </w:rPr>
        <w:t>达标</w:t>
      </w:r>
      <w:r>
        <w:t>。</w:t>
      </w:r>
    </w:p>
    <w:bookmarkEnd w:id="103"/>
    <w:p w14:paraId="306AAE5E">
      <w:pPr>
        <w:jc w:val="center"/>
        <w:rPr>
          <w:rFonts w:ascii="微软雅黑" w:hAnsi="微软雅黑" w:eastAsia="微软雅黑"/>
          <w:sz w:val="20"/>
        </w:rPr>
      </w:pPr>
      <w:bookmarkStart w:id="107" w:name="建筑迎背风面风压差表_新增"/>
      <w:bookmarkEnd w:id="107"/>
    </w:p>
    <w:bookmarkEnd w:id="20"/>
    <w:p w14:paraId="40E9062B">
      <w:pPr>
        <w:pStyle w:val="6"/>
      </w:pPr>
      <w:r>
        <w:rPr>
          <w:rFonts w:hint="eastAsia"/>
        </w:rPr>
        <w:t>建筑迎风和背风面风压差结论汇总</w:t>
      </w:r>
    </w:p>
    <w:p w14:paraId="58EB6253">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629E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36F44BF5">
            <w:pPr>
              <w:jc w:val="center"/>
              <w:rPr>
                <w:rFonts w:ascii="微软雅黑" w:hAnsi="微软雅黑" w:eastAsia="微软雅黑"/>
                <w:sz w:val="18"/>
                <w:szCs w:val="18"/>
                <w:lang w:val="en-US"/>
              </w:rPr>
            </w:pPr>
            <w:bookmarkStart w:id="108"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53A8650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0F66378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7D6D797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0E59627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478FC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A880513">
            <w:pPr>
              <w:jc w:val="center"/>
              <w:rPr>
                <w:rFonts w:ascii="微软雅黑" w:hAnsi="微软雅黑" w:eastAsia="微软雅黑"/>
                <w:sz w:val="18"/>
                <w:szCs w:val="18"/>
                <w:lang w:val="en-US"/>
              </w:rPr>
            </w:pPr>
            <w:r>
              <w:rPr>
                <w:rFonts w:ascii="微软雅黑" w:hAnsi="微软雅黑" w:eastAsia="微软雅黑"/>
                <w:sz w:val="18"/>
                <w:szCs w:val="18"/>
                <w:lang w:val="en-US"/>
              </w:rPr>
              <w:t>单体</w:t>
            </w:r>
          </w:p>
        </w:tc>
        <w:tc>
          <w:tcPr>
            <w:tcW w:w="1697" w:type="dxa"/>
            <w:shd w:val="clear" w:color="auto" w:fill="auto"/>
            <w:vAlign w:val="center"/>
          </w:tcPr>
          <w:p w14:paraId="5313BFD7">
            <w:pPr>
              <w:jc w:val="center"/>
              <w:rPr>
                <w:rFonts w:ascii="微软雅黑" w:hAnsi="微软雅黑" w:eastAsia="微软雅黑"/>
                <w:sz w:val="18"/>
                <w:szCs w:val="18"/>
                <w:lang w:val="en-US"/>
              </w:rPr>
            </w:pPr>
            <w:r>
              <w:rPr>
                <w:rFonts w:ascii="微软雅黑" w:hAnsi="微软雅黑" w:eastAsia="微软雅黑"/>
                <w:sz w:val="18"/>
                <w:szCs w:val="18"/>
                <w:lang w:val="en-US"/>
              </w:rPr>
              <w:t>-1.34</w:t>
            </w:r>
          </w:p>
        </w:tc>
        <w:tc>
          <w:tcPr>
            <w:tcW w:w="1697" w:type="dxa"/>
            <w:shd w:val="clear" w:color="auto" w:fill="auto"/>
            <w:vAlign w:val="center"/>
          </w:tcPr>
          <w:p w14:paraId="0F53F089">
            <w:pPr>
              <w:jc w:val="center"/>
              <w:rPr>
                <w:rFonts w:ascii="微软雅黑" w:hAnsi="微软雅黑" w:eastAsia="微软雅黑"/>
                <w:sz w:val="18"/>
                <w:szCs w:val="18"/>
                <w:lang w:val="en-US"/>
              </w:rPr>
            </w:pPr>
            <w:r>
              <w:rPr>
                <w:rFonts w:ascii="微软雅黑" w:hAnsi="微软雅黑" w:eastAsia="微软雅黑"/>
                <w:sz w:val="18"/>
                <w:szCs w:val="18"/>
                <w:lang w:val="en-US"/>
              </w:rPr>
              <w:t>-4.10</w:t>
            </w:r>
          </w:p>
        </w:tc>
        <w:tc>
          <w:tcPr>
            <w:tcW w:w="2401" w:type="dxa"/>
            <w:shd w:val="clear" w:color="auto" w:fill="auto"/>
            <w:vAlign w:val="center"/>
          </w:tcPr>
          <w:p w14:paraId="39C21B5F">
            <w:pPr>
              <w:jc w:val="center"/>
              <w:rPr>
                <w:rFonts w:ascii="微软雅黑" w:hAnsi="微软雅黑" w:eastAsia="微软雅黑"/>
                <w:sz w:val="18"/>
                <w:szCs w:val="18"/>
                <w:lang w:val="en-US"/>
              </w:rPr>
            </w:pPr>
            <w:r>
              <w:rPr>
                <w:rFonts w:ascii="微软雅黑" w:hAnsi="微软雅黑" w:eastAsia="微软雅黑"/>
                <w:sz w:val="18"/>
                <w:szCs w:val="18"/>
                <w:lang w:val="en-US"/>
              </w:rPr>
              <w:t>2.76</w:t>
            </w:r>
          </w:p>
        </w:tc>
        <w:tc>
          <w:tcPr>
            <w:tcW w:w="1151" w:type="dxa"/>
            <w:shd w:val="clear" w:color="auto" w:fill="auto"/>
            <w:vAlign w:val="center"/>
          </w:tcPr>
          <w:p w14:paraId="0DB2B18C">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bookmarkEnd w:id="108"/>
    </w:tbl>
    <w:p w14:paraId="20DFCAEF">
      <w:pPr>
        <w:rPr>
          <w:rFonts w:ascii="微软雅黑" w:hAnsi="微软雅黑" w:eastAsia="微软雅黑"/>
          <w:lang w:val="en-US"/>
        </w:rPr>
      </w:pPr>
      <w:bookmarkStart w:id="109" w:name="建筑迎风和背风面风压差结论汇总结论"/>
      <w:bookmarkEnd w:id="109"/>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3BE2B051">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40B592C1">
      <w:pPr>
        <w:rPr>
          <w:lang w:val="en-US"/>
        </w:rPr>
      </w:pPr>
      <w:bookmarkStart w:id="110" w:name="冬季工况"/>
      <w:bookmarkEnd w:id="110"/>
      <w:r>
        <w:rPr>
          <w:rFonts w:hint="eastAsia"/>
          <w:lang w:val="en-US"/>
        </w:rPr>
        <w:t xml:space="preserve"> </w:t>
      </w:r>
    </w:p>
    <w:p w14:paraId="6FD8418D">
      <w:pPr>
        <w:pStyle w:val="4"/>
      </w:pPr>
      <w:bookmarkStart w:id="111" w:name="_Toc509844759"/>
      <w:bookmarkStart w:id="112" w:name="_Toc19922"/>
      <w:r>
        <w:rPr>
          <w:rFonts w:hint="eastAsia"/>
        </w:rPr>
        <w:t>夏季工况</w:t>
      </w:r>
      <w:bookmarkEnd w:id="111"/>
      <w:bookmarkEnd w:id="112"/>
    </w:p>
    <w:p w14:paraId="032AA1B7">
      <w:pPr>
        <w:ind w:firstLine="420"/>
      </w:pPr>
      <w:r>
        <w:rPr>
          <w:rFonts w:hint="eastAsia"/>
          <w:lang w:val="en-US"/>
        </w:rPr>
        <w:t>本项目夏季工况的入口边界风速为</w:t>
      </w:r>
      <w:bookmarkStart w:id="113" w:name="入口边界风速"/>
      <w:r>
        <w:rPr>
          <w:rFonts w:hint="eastAsia"/>
          <w:lang w:val="en-US"/>
        </w:rPr>
        <w:t>4.60</w:t>
      </w:r>
      <w:bookmarkEnd w:id="113"/>
      <w:r>
        <w:rPr>
          <w:rFonts w:hint="eastAsia"/>
          <w:lang w:val="en-US"/>
        </w:rPr>
        <w:t>m/s，风向为</w:t>
      </w:r>
      <w:bookmarkStart w:id="114" w:name="入口边界风向"/>
      <w:r>
        <w:t>WSW</w:t>
      </w:r>
      <w:bookmarkEnd w:id="114"/>
      <w:r>
        <w:rPr>
          <w:rFonts w:hint="eastAsia"/>
          <w:lang w:val="en-US"/>
        </w:rPr>
        <w:t>。</w:t>
      </w:r>
    </w:p>
    <w:p w14:paraId="1519D7C5">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5" w:name="季节4"/>
      <w:r>
        <w:rPr>
          <w:rFonts w:hint="eastAsia"/>
          <w:lang w:val="en-US"/>
        </w:rPr>
        <w:t>夏季</w:t>
      </w:r>
      <w:bookmarkEnd w:id="115"/>
      <w:r>
        <w:rPr>
          <w:rFonts w:hint="eastAsia"/>
          <w:lang w:val="en-US"/>
        </w:rPr>
        <w:t>形成有效的巷道风，优化街区自然通风环境，避免</w:t>
      </w:r>
      <w:bookmarkStart w:id="116" w:name="季节5"/>
      <w:r>
        <w:rPr>
          <w:rFonts w:hint="eastAsia"/>
          <w:lang w:val="en-US"/>
        </w:rPr>
        <w:t>夏季</w:t>
      </w:r>
      <w:bookmarkEnd w:id="116"/>
      <w:r>
        <w:rPr>
          <w:rFonts w:hint="eastAsia"/>
          <w:lang w:val="en-US"/>
        </w:rPr>
        <w:t>人活动区有明显的气流旋涡和无风区，从而造成闷热不适感。因此本项目需要分析人活动区的风速，并作出判断。</w:t>
      </w:r>
    </w:p>
    <w:p w14:paraId="598FF06E">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AAA2CE2">
      <w:pPr>
        <w:ind w:firstLine="420"/>
      </w:pPr>
      <w:r>
        <w:rPr>
          <w:rFonts w:hint="eastAsia"/>
          <w:lang w:val="en-US"/>
        </w:rPr>
        <w:t>注：无风区的定义参考《</w:t>
      </w:r>
      <w:r>
        <w:rPr>
          <w:rFonts w:hint="eastAsia"/>
        </w:rPr>
        <w:t>建筑设计资料集</w:t>
      </w:r>
      <w:r>
        <w:rPr>
          <w:rFonts w:hint="eastAsia"/>
          <w:lang w:val="en-US"/>
        </w:rPr>
        <w:t>》第一分册，第二版。</w:t>
      </w:r>
    </w:p>
    <w:p w14:paraId="006E4AEE">
      <w:pPr>
        <w:pStyle w:val="5"/>
      </w:pPr>
      <w:bookmarkStart w:id="117" w:name="_Toc509844760"/>
      <w:r>
        <w:rPr>
          <w:rFonts w:hint="eastAsia"/>
        </w:rPr>
        <w:t>人活动区域无风区计算分析</w:t>
      </w:r>
      <w:bookmarkEnd w:id="117"/>
    </w:p>
    <w:p w14:paraId="25D5E345">
      <w:pPr>
        <w:ind w:firstLine="420"/>
      </w:pPr>
      <w:bookmarkStart w:id="118" w:name="人行区风速分析"/>
      <w:r>
        <w:rPr>
          <w:rFonts w:hint="eastAsia"/>
        </w:rPr>
        <w:t>（本项目未划分人活动区域）</w:t>
      </w:r>
    </w:p>
    <w:bookmarkEnd w:id="118"/>
    <w:p w14:paraId="38EEE53D">
      <w:pPr>
        <w:pStyle w:val="5"/>
      </w:pPr>
      <w:bookmarkStart w:id="119" w:name="_Toc509844761"/>
      <w:r>
        <w:rPr>
          <w:rFonts w:hint="eastAsia"/>
        </w:rPr>
        <w:t>人活动区域旋涡区分析</w:t>
      </w:r>
      <w:bookmarkEnd w:id="119"/>
    </w:p>
    <w:p w14:paraId="1CA5C0D6">
      <w:pPr>
        <w:ind w:firstLine="420"/>
      </w:pPr>
      <w:bookmarkStart w:id="120" w:name="人行区风速矢量分析"/>
      <w:r>
        <w:rPr>
          <w:rFonts w:hint="eastAsia"/>
        </w:rPr>
        <w:t>（本项目未划分人活动区域）</w:t>
      </w:r>
    </w:p>
    <w:bookmarkEnd w:id="120"/>
    <w:p w14:paraId="66EA345B">
      <w:pPr>
        <w:pStyle w:val="5"/>
      </w:pPr>
      <w:bookmarkStart w:id="121" w:name="_Toc509844762"/>
      <w:r>
        <w:rPr>
          <w:rFonts w:hint="eastAsia"/>
        </w:rPr>
        <w:t>人活动区域旋涡区/无风区达标</w:t>
      </w:r>
      <w:bookmarkEnd w:id="121"/>
      <w:r>
        <w:rPr>
          <w:rFonts w:hint="eastAsia"/>
        </w:rPr>
        <w:t>结果汇总</w:t>
      </w:r>
    </w:p>
    <w:p w14:paraId="3D5F71B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2" w:name="季节8"/>
      <w:r>
        <w:rPr>
          <w:rFonts w:hint="eastAsia" w:ascii="微软雅黑" w:hAnsi="微软雅黑" w:eastAsia="微软雅黑"/>
          <w:sz w:val="18"/>
          <w:szCs w:val="18"/>
        </w:rPr>
        <w:t>夏季</w:t>
      </w:r>
      <w:bookmarkEnd w:id="122"/>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584E15B3">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F43BF">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8F2A0CA">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62EC87D3">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2E19237">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44AC146A">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24A2E87">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43690B15">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1BE83339">
            <w:pPr>
              <w:spacing w:line="400" w:lineRule="exact"/>
              <w:jc w:val="center"/>
              <w:rPr>
                <w:rFonts w:cs="宋体"/>
                <w:color w:val="000000"/>
                <w:sz w:val="18"/>
                <w:szCs w:val="18"/>
                <w:lang w:val="en-US"/>
              </w:rPr>
            </w:pPr>
            <w:bookmarkStart w:id="123" w:name="是否有无风区"/>
            <w:r>
              <w:rPr>
                <w:rFonts w:hint="eastAsia" w:cs="宋体"/>
                <w:color w:val="000000"/>
                <w:sz w:val="18"/>
                <w:szCs w:val="18"/>
                <w:lang w:val="en-US"/>
              </w:rPr>
              <w:t>否</w:t>
            </w:r>
            <w:bookmarkEnd w:id="123"/>
          </w:p>
        </w:tc>
        <w:tc>
          <w:tcPr>
            <w:tcW w:w="1701" w:type="dxa"/>
            <w:tcBorders>
              <w:top w:val="nil"/>
              <w:left w:val="nil"/>
              <w:bottom w:val="single" w:color="auto" w:sz="4" w:space="0"/>
              <w:right w:val="single" w:color="auto" w:sz="4" w:space="0"/>
            </w:tcBorders>
            <w:shd w:val="clear" w:color="auto" w:fill="auto"/>
            <w:noWrap/>
            <w:vAlign w:val="center"/>
          </w:tcPr>
          <w:p w14:paraId="0737B594">
            <w:pPr>
              <w:spacing w:line="400" w:lineRule="exact"/>
              <w:jc w:val="center"/>
              <w:rPr>
                <w:rFonts w:cs="宋体"/>
                <w:color w:val="000000"/>
                <w:sz w:val="18"/>
                <w:szCs w:val="18"/>
                <w:lang w:val="en-US"/>
              </w:rPr>
            </w:pPr>
            <w:bookmarkStart w:id="124" w:name="无风区达标判断"/>
            <w:r>
              <w:rPr>
                <w:rFonts w:hint="eastAsia" w:cs="宋体"/>
                <w:color w:val="000000"/>
                <w:sz w:val="18"/>
                <w:szCs w:val="18"/>
                <w:lang w:val="en-US"/>
              </w:rPr>
              <w:t>是</w:t>
            </w:r>
            <w:bookmarkEnd w:id="124"/>
          </w:p>
        </w:tc>
      </w:tr>
      <w:tr w14:paraId="0C0763AF">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DAA953E">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6398A2BA">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5FBF724D">
            <w:pPr>
              <w:spacing w:line="400" w:lineRule="exact"/>
              <w:jc w:val="center"/>
              <w:rPr>
                <w:rFonts w:cs="宋体"/>
                <w:color w:val="000000"/>
                <w:sz w:val="18"/>
                <w:szCs w:val="18"/>
                <w:lang w:val="en-US"/>
              </w:rPr>
            </w:pPr>
            <w:bookmarkStart w:id="125" w:name="是否有旋涡区"/>
            <w:r>
              <w:rPr>
                <w:rFonts w:cs="宋体"/>
                <w:color w:val="000000"/>
                <w:sz w:val="18"/>
                <w:szCs w:val="18"/>
                <w:lang w:val="en-US"/>
              </w:rPr>
              <w:t>否</w:t>
            </w:r>
            <w:bookmarkEnd w:id="125"/>
          </w:p>
        </w:tc>
        <w:tc>
          <w:tcPr>
            <w:tcW w:w="1701" w:type="dxa"/>
            <w:tcBorders>
              <w:top w:val="nil"/>
              <w:left w:val="nil"/>
              <w:bottom w:val="single" w:color="auto" w:sz="4" w:space="0"/>
              <w:right w:val="single" w:color="auto" w:sz="4" w:space="0"/>
            </w:tcBorders>
            <w:shd w:val="clear" w:color="auto" w:fill="auto"/>
            <w:noWrap/>
            <w:vAlign w:val="center"/>
          </w:tcPr>
          <w:p w14:paraId="02E4C725">
            <w:pPr>
              <w:spacing w:line="400" w:lineRule="exact"/>
              <w:jc w:val="center"/>
              <w:rPr>
                <w:rFonts w:cs="宋体"/>
                <w:color w:val="000000"/>
                <w:sz w:val="18"/>
                <w:szCs w:val="18"/>
                <w:lang w:val="en-US"/>
              </w:rPr>
            </w:pPr>
            <w:bookmarkStart w:id="126" w:name="旋涡区达标判断"/>
            <w:r>
              <w:rPr>
                <w:rFonts w:cs="宋体"/>
                <w:color w:val="000000"/>
                <w:sz w:val="18"/>
                <w:szCs w:val="18"/>
                <w:lang w:val="en-US"/>
              </w:rPr>
              <w:t>是</w:t>
            </w:r>
            <w:bookmarkEnd w:id="126"/>
          </w:p>
        </w:tc>
      </w:tr>
    </w:tbl>
    <w:p w14:paraId="7FEB8003">
      <w:pPr>
        <w:pStyle w:val="5"/>
      </w:pPr>
      <w:bookmarkStart w:id="127" w:name="_Toc504501018"/>
      <w:bookmarkStart w:id="128" w:name="_Toc509844763"/>
      <w:r>
        <w:rPr>
          <w:rFonts w:hint="eastAsia"/>
        </w:rPr>
        <w:t>外窗内外表面风压</w:t>
      </w:r>
      <w:bookmarkEnd w:id="127"/>
      <w:r>
        <w:rPr>
          <w:rFonts w:hint="eastAsia"/>
        </w:rPr>
        <w:t>差达标分析</w:t>
      </w:r>
      <w:bookmarkEnd w:id="128"/>
    </w:p>
    <w:p w14:paraId="465E9688">
      <w:pPr>
        <w:ind w:firstLine="420"/>
      </w:pPr>
      <w:r>
        <w:rPr>
          <w:rFonts w:hint="eastAsia"/>
          <w:lang w:val="en-US"/>
        </w:rPr>
        <w:t>分析《绿色建筑评价标准》，</w:t>
      </w:r>
      <w:bookmarkStart w:id="129" w:name="季节9"/>
      <w:r>
        <w:rPr>
          <w:rFonts w:hint="eastAsia"/>
          <w:lang w:val="en-US"/>
        </w:rPr>
        <w:t>夏季</w:t>
      </w:r>
      <w:bookmarkEnd w:id="129"/>
      <w:r>
        <w:rPr>
          <w:rFonts w:hint="eastAsia"/>
          <w:lang w:val="en-US"/>
        </w:rPr>
        <w:t>为充分利用自然通风获得良好的室内风环境，要求50%以上可开启外窗室内外表面的风压差大于0.5Pa。</w:t>
      </w:r>
    </w:p>
    <w:p w14:paraId="2F586AE6">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4D778092">
      <w:pPr>
        <w:ind w:firstLine="420"/>
      </w:pPr>
      <w:r>
        <w:rPr>
          <w:rFonts w:hint="eastAsia"/>
          <w:lang w:val="en-US"/>
        </w:rPr>
        <w:t>下图为夏季工况下，建筑迎风面和背风面对应外窗表面的风压分布图，结合图例数值可以清晰看到外窗表面风压小于0.5Pa的外窗区域。</w:t>
      </w:r>
    </w:p>
    <w:p w14:paraId="3208D989">
      <w:pPr>
        <w:pStyle w:val="3"/>
        <w:ind w:firstLine="0" w:firstLineChars="0"/>
        <w:jc w:val="center"/>
        <w:rPr>
          <w:rFonts w:ascii="微软雅黑" w:hAnsi="微软雅黑" w:eastAsia="微软雅黑"/>
        </w:rPr>
      </w:pPr>
      <w:bookmarkStart w:id="130" w:name="迎风面风压云图"/>
      <w:bookmarkEnd w:id="130"/>
      <w:r>
        <w:drawing>
          <wp:inline distT="0" distB="0" distL="0" distR="0">
            <wp:extent cx="5667375" cy="33528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6"/>
                    <a:stretch>
                      <a:fillRect/>
                    </a:stretch>
                  </pic:blipFill>
                  <pic:spPr>
                    <a:xfrm>
                      <a:off x="0" y="0"/>
                      <a:ext cx="5667375" cy="3352800"/>
                    </a:xfrm>
                    <a:prstGeom prst="rect">
                      <a:avLst/>
                    </a:prstGeom>
                  </pic:spPr>
                </pic:pic>
              </a:graphicData>
            </a:graphic>
          </wp:inline>
        </w:drawing>
      </w:r>
    </w:p>
    <w:p w14:paraId="79B2BBE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31" w:name="季节10"/>
      <w:r>
        <w:rPr>
          <w:rFonts w:hint="eastAsia" w:ascii="微软雅黑" w:hAnsi="微软雅黑" w:eastAsia="微软雅黑"/>
          <w:sz w:val="18"/>
          <w:szCs w:val="18"/>
        </w:rPr>
        <w:t>夏季</w:t>
      </w:r>
      <w:bookmarkEnd w:id="131"/>
    </w:p>
    <w:p w14:paraId="090FBE34">
      <w:pPr>
        <w:jc w:val="center"/>
        <w:rPr>
          <w:rFonts w:ascii="微软雅黑" w:hAnsi="微软雅黑" w:eastAsia="微软雅黑"/>
        </w:rPr>
      </w:pPr>
      <w:bookmarkStart w:id="132" w:name="背风面风压云图"/>
      <w:bookmarkEnd w:id="132"/>
      <w:r>
        <w:drawing>
          <wp:inline distT="0" distB="0" distL="0" distR="0">
            <wp:extent cx="5667375" cy="33623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7"/>
                    <a:stretch>
                      <a:fillRect/>
                    </a:stretch>
                  </pic:blipFill>
                  <pic:spPr>
                    <a:xfrm>
                      <a:off x="0" y="0"/>
                      <a:ext cx="5667375" cy="3362325"/>
                    </a:xfrm>
                    <a:prstGeom prst="rect">
                      <a:avLst/>
                    </a:prstGeom>
                  </pic:spPr>
                </pic:pic>
              </a:graphicData>
            </a:graphic>
          </wp:inline>
        </w:drawing>
      </w:r>
    </w:p>
    <w:p w14:paraId="7776E18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3" w:name="季节11"/>
      <w:r>
        <w:rPr>
          <w:rFonts w:hint="eastAsia" w:ascii="微软雅黑" w:hAnsi="微软雅黑" w:eastAsia="微软雅黑"/>
          <w:sz w:val="18"/>
          <w:szCs w:val="18"/>
        </w:rPr>
        <w:t>夏季</w:t>
      </w:r>
      <w:bookmarkEnd w:id="133"/>
      <w:r>
        <w:rPr>
          <w:rFonts w:hint="eastAsia" w:ascii="微软雅黑" w:hAnsi="微软雅黑" w:eastAsia="微软雅黑"/>
          <w:sz w:val="18"/>
          <w:szCs w:val="18"/>
        </w:rPr>
        <w:t xml:space="preserve"> </w:t>
      </w:r>
    </w:p>
    <w:p w14:paraId="3D1541CA">
      <w:pPr>
        <w:ind w:firstLine="420"/>
      </w:pPr>
      <w:r>
        <w:rPr>
          <w:rFonts w:hint="eastAsia"/>
        </w:rPr>
        <w:t>下表为依据上图提取的外窗外表面平均风压数据，相当于外窗室内外表面风压差数据，并依据标准做出达标判断：</w:t>
      </w:r>
    </w:p>
    <w:p w14:paraId="7FAAD245">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0A6B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5ADDEAF3">
            <w:pPr>
              <w:jc w:val="center"/>
              <w:rPr>
                <w:sz w:val="18"/>
                <w:szCs w:val="18"/>
                <w:lang w:val="en-US"/>
              </w:rPr>
            </w:pPr>
            <w:bookmarkStart w:id="134" w:name="建筑外窗室内外风压差达标判定"/>
            <w:r>
              <w:rPr>
                <w:rFonts w:hint="eastAsia"/>
                <w:sz w:val="18"/>
                <w:szCs w:val="18"/>
                <w:lang w:val="en-US"/>
              </w:rPr>
              <w:t>建筑编号</w:t>
            </w:r>
          </w:p>
        </w:tc>
        <w:tc>
          <w:tcPr>
            <w:tcW w:w="1559" w:type="dxa"/>
            <w:shd w:val="clear" w:color="auto" w:fill="E6E6E6"/>
            <w:vAlign w:val="center"/>
          </w:tcPr>
          <w:p w14:paraId="12DEF68A">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239D5F9D">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45B1201A">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506DA346">
            <w:pPr>
              <w:jc w:val="center"/>
              <w:rPr>
                <w:sz w:val="18"/>
                <w:szCs w:val="18"/>
                <w:lang w:val="en-US"/>
              </w:rPr>
            </w:pPr>
            <w:r>
              <w:rPr>
                <w:rFonts w:hint="eastAsia"/>
                <w:sz w:val="18"/>
                <w:szCs w:val="18"/>
                <w:lang w:val="en-US"/>
              </w:rPr>
              <w:t>是否达标</w:t>
            </w:r>
          </w:p>
        </w:tc>
      </w:tr>
      <w:tr w14:paraId="11AA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1A25D43B">
            <w:pPr>
              <w:jc w:val="center"/>
              <w:rPr>
                <w:sz w:val="18"/>
                <w:szCs w:val="18"/>
                <w:lang w:val="en-US"/>
              </w:rPr>
            </w:pPr>
            <w:r>
              <w:rPr>
                <w:sz w:val="18"/>
                <w:szCs w:val="18"/>
                <w:lang w:val="en-US"/>
              </w:rPr>
              <w:t>单体</w:t>
            </w:r>
          </w:p>
        </w:tc>
        <w:tc>
          <w:tcPr>
            <w:tcW w:w="1559" w:type="dxa"/>
            <w:shd w:val="clear" w:color="auto" w:fill="auto"/>
            <w:vAlign w:val="center"/>
          </w:tcPr>
          <w:p w14:paraId="4E4C4804">
            <w:pPr>
              <w:jc w:val="center"/>
              <w:rPr>
                <w:sz w:val="18"/>
                <w:szCs w:val="18"/>
                <w:lang w:val="en-US"/>
              </w:rPr>
            </w:pPr>
            <w:r>
              <w:rPr>
                <w:sz w:val="18"/>
                <w:szCs w:val="18"/>
                <w:lang w:val="en-US"/>
              </w:rPr>
              <w:t>60</w:t>
            </w:r>
          </w:p>
        </w:tc>
        <w:tc>
          <w:tcPr>
            <w:tcW w:w="3544" w:type="dxa"/>
            <w:shd w:val="clear" w:color="auto" w:fill="auto"/>
            <w:vAlign w:val="center"/>
          </w:tcPr>
          <w:p w14:paraId="53613A89">
            <w:pPr>
              <w:jc w:val="center"/>
              <w:rPr>
                <w:sz w:val="18"/>
                <w:szCs w:val="18"/>
                <w:lang w:val="en-US"/>
              </w:rPr>
            </w:pPr>
            <w:r>
              <w:rPr>
                <w:sz w:val="18"/>
                <w:szCs w:val="18"/>
                <w:lang w:val="en-US"/>
              </w:rPr>
              <w:t>59</w:t>
            </w:r>
          </w:p>
        </w:tc>
        <w:tc>
          <w:tcPr>
            <w:tcW w:w="1116" w:type="dxa"/>
            <w:shd w:val="clear" w:color="auto" w:fill="auto"/>
            <w:vAlign w:val="center"/>
          </w:tcPr>
          <w:p w14:paraId="1E666AAD">
            <w:pPr>
              <w:jc w:val="center"/>
              <w:rPr>
                <w:sz w:val="18"/>
                <w:szCs w:val="18"/>
                <w:lang w:val="en-US"/>
              </w:rPr>
            </w:pPr>
            <w:r>
              <w:rPr>
                <w:sz w:val="18"/>
                <w:szCs w:val="18"/>
                <w:lang w:val="en-US"/>
              </w:rPr>
              <w:t>98.33</w:t>
            </w:r>
          </w:p>
        </w:tc>
        <w:tc>
          <w:tcPr>
            <w:tcW w:w="1011" w:type="dxa"/>
            <w:shd w:val="clear" w:color="auto" w:fill="auto"/>
            <w:vAlign w:val="center"/>
          </w:tcPr>
          <w:p w14:paraId="030A14C9">
            <w:pPr>
              <w:jc w:val="center"/>
              <w:rPr>
                <w:sz w:val="18"/>
                <w:szCs w:val="18"/>
                <w:lang w:val="en-US"/>
              </w:rPr>
            </w:pPr>
            <w:r>
              <w:rPr>
                <w:sz w:val="18"/>
                <w:szCs w:val="18"/>
                <w:lang w:val="en-US"/>
              </w:rPr>
              <w:t>是</w:t>
            </w:r>
          </w:p>
        </w:tc>
      </w:tr>
      <w:bookmarkEnd w:id="134"/>
    </w:tbl>
    <w:p w14:paraId="042A221B">
      <w:pPr>
        <w:rPr>
          <w:sz w:val="18"/>
          <w:szCs w:val="18"/>
        </w:rPr>
      </w:pPr>
      <w:r>
        <w:rPr>
          <w:rFonts w:hint="eastAsia"/>
          <w:sz w:val="18"/>
          <w:szCs w:val="18"/>
          <w:lang w:val="en-US"/>
        </w:rPr>
        <w:t>说明：达标比例＝（室内外风压差大于0.5Pa的总数/可开启外窗总数）*100％</w:t>
      </w:r>
    </w:p>
    <w:bookmarkEnd w:id="24"/>
    <w:p w14:paraId="1FD640FA">
      <w:pPr>
        <w:rPr>
          <w:lang w:val="en-US"/>
        </w:rPr>
      </w:pPr>
    </w:p>
    <w:p w14:paraId="45F9905D"/>
    <w:p w14:paraId="3FDE9370">
      <w:pPr>
        <w:ind w:firstLine="420"/>
        <w:rPr>
          <w:lang w:val="en-US"/>
        </w:rPr>
      </w:pPr>
      <w:bookmarkStart w:id="135"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35"/>
      <w:r>
        <w:rPr>
          <w:rFonts w:hint="eastAsia"/>
          <w:lang w:val="en-US"/>
        </w:rPr>
        <w:t xml:space="preserve"> </w:t>
      </w:r>
    </w:p>
    <w:p w14:paraId="7479F598">
      <w:pPr>
        <w:rPr>
          <w:lang w:val="en-US"/>
        </w:rPr>
      </w:pPr>
      <w:bookmarkStart w:id="136" w:name="其他工况"/>
      <w:bookmarkEnd w:id="136"/>
      <w:r>
        <w:rPr>
          <w:rFonts w:hint="eastAsia"/>
          <w:lang w:val="en-US"/>
        </w:rPr>
        <w:t xml:space="preserve"> </w:t>
      </w:r>
    </w:p>
    <w:p w14:paraId="5443C2C9">
      <w:pPr>
        <w:pStyle w:val="2"/>
      </w:pPr>
      <w:bookmarkStart w:id="137" w:name="_Toc509844764"/>
      <w:bookmarkStart w:id="138" w:name="_Toc12958"/>
      <w:r>
        <w:rPr>
          <w:rFonts w:hint="eastAsia"/>
        </w:rPr>
        <w:t>结论</w:t>
      </w:r>
      <w:bookmarkEnd w:id="137"/>
      <w:bookmarkEnd w:id="138"/>
    </w:p>
    <w:p w14:paraId="7CB43B2A">
      <w:pPr>
        <w:pStyle w:val="4"/>
      </w:pPr>
      <w:bookmarkStart w:id="139" w:name="_Toc509844765"/>
      <w:bookmarkStart w:id="140" w:name="_Toc7358"/>
      <w:r>
        <w:rPr>
          <w:rFonts w:hint="eastAsia"/>
        </w:rPr>
        <w:t>冬季工况达标判断</w:t>
      </w:r>
      <w:bookmarkEnd w:id="139"/>
      <w:bookmarkEnd w:id="140"/>
      <w:bookmarkStart w:id="141" w:name="_Toc509844766"/>
      <w:bookmarkEnd w:id="141"/>
    </w:p>
    <w:p w14:paraId="51689367">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058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00708FFA">
            <w:pPr>
              <w:rPr>
                <w:sz w:val="18"/>
                <w:szCs w:val="18"/>
                <w:lang w:val="en-US"/>
              </w:rPr>
            </w:pPr>
            <w:r>
              <w:rPr>
                <w:rFonts w:hint="eastAsia"/>
                <w:sz w:val="18"/>
                <w:szCs w:val="18"/>
                <w:lang w:val="en-US"/>
              </w:rPr>
              <w:t>评价项目</w:t>
            </w:r>
          </w:p>
        </w:tc>
        <w:tc>
          <w:tcPr>
            <w:tcW w:w="2409" w:type="dxa"/>
            <w:shd w:val="clear" w:color="auto" w:fill="E6E6E6"/>
          </w:tcPr>
          <w:p w14:paraId="3F0C6F51">
            <w:pPr>
              <w:rPr>
                <w:sz w:val="18"/>
                <w:szCs w:val="18"/>
                <w:lang w:val="en-US"/>
              </w:rPr>
            </w:pPr>
            <w:r>
              <w:rPr>
                <w:rFonts w:hint="eastAsia"/>
                <w:sz w:val="18"/>
                <w:szCs w:val="18"/>
                <w:lang w:val="en-US"/>
              </w:rPr>
              <w:t>标准要求</w:t>
            </w:r>
          </w:p>
        </w:tc>
        <w:tc>
          <w:tcPr>
            <w:tcW w:w="2127" w:type="dxa"/>
            <w:shd w:val="clear" w:color="auto" w:fill="E6E6E6"/>
            <w:vAlign w:val="center"/>
          </w:tcPr>
          <w:p w14:paraId="60B39EF7">
            <w:pPr>
              <w:rPr>
                <w:sz w:val="18"/>
                <w:szCs w:val="18"/>
                <w:lang w:val="en-US"/>
              </w:rPr>
            </w:pPr>
            <w:r>
              <w:rPr>
                <w:rFonts w:hint="eastAsia"/>
                <w:sz w:val="18"/>
                <w:szCs w:val="18"/>
                <w:lang w:val="en-US"/>
              </w:rPr>
              <w:t>项目计算结果</w:t>
            </w:r>
          </w:p>
        </w:tc>
        <w:tc>
          <w:tcPr>
            <w:tcW w:w="1258" w:type="dxa"/>
            <w:shd w:val="clear" w:color="auto" w:fill="E6E6E6"/>
          </w:tcPr>
          <w:p w14:paraId="0212DD38">
            <w:pPr>
              <w:rPr>
                <w:sz w:val="18"/>
                <w:szCs w:val="18"/>
                <w:lang w:val="en-US"/>
              </w:rPr>
            </w:pPr>
            <w:r>
              <w:rPr>
                <w:rFonts w:hint="eastAsia"/>
                <w:sz w:val="18"/>
                <w:szCs w:val="18"/>
                <w:lang w:val="en-US"/>
              </w:rPr>
              <w:t>达标判定</w:t>
            </w:r>
          </w:p>
        </w:tc>
        <w:tc>
          <w:tcPr>
            <w:tcW w:w="992" w:type="dxa"/>
            <w:shd w:val="clear" w:color="auto" w:fill="E6E6E6"/>
          </w:tcPr>
          <w:p w14:paraId="0B446322">
            <w:pPr>
              <w:rPr>
                <w:sz w:val="18"/>
                <w:szCs w:val="18"/>
                <w:lang w:val="en-US"/>
              </w:rPr>
            </w:pPr>
            <w:r>
              <w:rPr>
                <w:rFonts w:hint="eastAsia"/>
                <w:sz w:val="18"/>
                <w:szCs w:val="18"/>
                <w:lang w:val="en-US"/>
              </w:rPr>
              <w:t>得分</w:t>
            </w:r>
          </w:p>
        </w:tc>
      </w:tr>
      <w:tr w14:paraId="1C16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B4EC1AA">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71E97E38">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2" w:name="标准要求冬季风速得分"/>
            <w:r>
              <w:rPr>
                <w:rFonts w:hint="eastAsia"/>
                <w:sz w:val="18"/>
                <w:szCs w:val="18"/>
                <w:lang w:val="en-US"/>
              </w:rPr>
              <w:t>3</w:t>
            </w:r>
            <w:bookmarkEnd w:id="142"/>
            <w:r>
              <w:rPr>
                <w:rFonts w:hint="eastAsia"/>
                <w:sz w:val="18"/>
                <w:szCs w:val="18"/>
                <w:lang w:val="en-US"/>
              </w:rPr>
              <w:t>分；</w:t>
            </w:r>
          </w:p>
        </w:tc>
        <w:tc>
          <w:tcPr>
            <w:tcW w:w="2127" w:type="dxa"/>
            <w:shd w:val="clear" w:color="auto" w:fill="auto"/>
            <w:vAlign w:val="center"/>
          </w:tcPr>
          <w:p w14:paraId="739825DE">
            <w:pPr>
              <w:spacing w:line="300" w:lineRule="exact"/>
              <w:jc w:val="center"/>
              <w:rPr>
                <w:sz w:val="18"/>
                <w:szCs w:val="18"/>
                <w:lang w:val="en-US"/>
              </w:rPr>
            </w:pPr>
            <w:bookmarkStart w:id="143" w:name="冬季风速结果"/>
            <w:bookmarkEnd w:id="143"/>
            <w:bookmarkStart w:id="144" w:name="冬季风速结果2"/>
            <w:bookmarkEnd w:id="144"/>
            <w:r>
              <w:rPr>
                <w:sz w:val="18"/>
                <w:szCs w:val="18"/>
                <w:lang w:val="en-US"/>
              </w:rPr>
              <w:t>未出现风速超标区域</w:t>
            </w:r>
          </w:p>
        </w:tc>
        <w:tc>
          <w:tcPr>
            <w:tcW w:w="1258" w:type="dxa"/>
            <w:vMerge w:val="restart"/>
            <w:shd w:val="clear" w:color="auto" w:fill="auto"/>
            <w:vAlign w:val="center"/>
          </w:tcPr>
          <w:p w14:paraId="1CB4FEB2">
            <w:pPr>
              <w:spacing w:line="300" w:lineRule="exact"/>
              <w:jc w:val="center"/>
              <w:rPr>
                <w:sz w:val="18"/>
                <w:szCs w:val="18"/>
                <w:lang w:val="en-US"/>
              </w:rPr>
            </w:pPr>
            <w:bookmarkStart w:id="145" w:name="冬季风速达标判定"/>
            <w:r>
              <w:rPr>
                <w:rFonts w:hint="eastAsia"/>
                <w:sz w:val="18"/>
                <w:szCs w:val="18"/>
                <w:lang w:val="en-US"/>
              </w:rPr>
              <w:t>达标</w:t>
            </w:r>
            <w:bookmarkEnd w:id="145"/>
          </w:p>
        </w:tc>
        <w:tc>
          <w:tcPr>
            <w:tcW w:w="992" w:type="dxa"/>
            <w:vMerge w:val="restart"/>
            <w:shd w:val="clear" w:color="auto" w:fill="auto"/>
            <w:vAlign w:val="center"/>
          </w:tcPr>
          <w:p w14:paraId="3EB2620F">
            <w:pPr>
              <w:spacing w:line="300" w:lineRule="exact"/>
              <w:jc w:val="center"/>
              <w:rPr>
                <w:sz w:val="18"/>
                <w:szCs w:val="18"/>
                <w:lang w:val="en-US"/>
              </w:rPr>
            </w:pPr>
            <w:bookmarkStart w:id="146" w:name="冬季风速得分"/>
            <w:r>
              <w:rPr>
                <w:rFonts w:hint="eastAsia"/>
                <w:sz w:val="18"/>
                <w:szCs w:val="18"/>
                <w:lang w:val="en-US"/>
              </w:rPr>
              <w:t>3</w:t>
            </w:r>
            <w:bookmarkEnd w:id="146"/>
            <w:r>
              <w:rPr>
                <w:rFonts w:hint="eastAsia"/>
                <w:sz w:val="18"/>
                <w:szCs w:val="18"/>
                <w:lang w:val="en-US"/>
              </w:rPr>
              <w:t>分</w:t>
            </w:r>
          </w:p>
        </w:tc>
      </w:tr>
      <w:tr w14:paraId="3000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60381D0">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4EA02D88">
            <w:pPr>
              <w:spacing w:line="300" w:lineRule="exact"/>
              <w:jc w:val="center"/>
              <w:rPr>
                <w:sz w:val="18"/>
                <w:szCs w:val="18"/>
                <w:lang w:val="en-US"/>
              </w:rPr>
            </w:pPr>
          </w:p>
        </w:tc>
        <w:tc>
          <w:tcPr>
            <w:tcW w:w="2127" w:type="dxa"/>
            <w:shd w:val="clear" w:color="auto" w:fill="auto"/>
            <w:vAlign w:val="center"/>
          </w:tcPr>
          <w:p w14:paraId="00479AC4">
            <w:pPr>
              <w:spacing w:line="300" w:lineRule="exact"/>
              <w:jc w:val="center"/>
              <w:rPr>
                <w:sz w:val="18"/>
                <w:szCs w:val="18"/>
                <w:lang w:val="en-US"/>
              </w:rPr>
            </w:pPr>
            <w:bookmarkStart w:id="147" w:name="冬季风速放大系数结果休息区"/>
            <w:bookmarkEnd w:id="147"/>
            <w:bookmarkStart w:id="148" w:name="冬季风速放大系数结果人行区"/>
            <w:bookmarkEnd w:id="148"/>
            <w:r>
              <w:rPr>
                <w:sz w:val="18"/>
                <w:szCs w:val="18"/>
                <w:lang w:val="en-US"/>
              </w:rPr>
              <w:t>未出现风速放大系数大于等于2的区域</w:t>
            </w:r>
          </w:p>
        </w:tc>
        <w:tc>
          <w:tcPr>
            <w:tcW w:w="1258" w:type="dxa"/>
            <w:vMerge w:val="continue"/>
            <w:shd w:val="clear" w:color="auto" w:fill="auto"/>
            <w:vAlign w:val="center"/>
          </w:tcPr>
          <w:p w14:paraId="79F75692">
            <w:pPr>
              <w:spacing w:line="300" w:lineRule="exact"/>
              <w:jc w:val="center"/>
              <w:rPr>
                <w:sz w:val="18"/>
                <w:szCs w:val="18"/>
                <w:lang w:val="en-US"/>
              </w:rPr>
            </w:pPr>
          </w:p>
        </w:tc>
        <w:tc>
          <w:tcPr>
            <w:tcW w:w="992" w:type="dxa"/>
            <w:vMerge w:val="continue"/>
            <w:shd w:val="clear" w:color="auto" w:fill="auto"/>
            <w:vAlign w:val="center"/>
          </w:tcPr>
          <w:p w14:paraId="0085C8EF">
            <w:pPr>
              <w:spacing w:line="300" w:lineRule="exact"/>
              <w:jc w:val="center"/>
              <w:rPr>
                <w:sz w:val="18"/>
                <w:szCs w:val="18"/>
                <w:lang w:val="en-US"/>
              </w:rPr>
            </w:pPr>
          </w:p>
        </w:tc>
      </w:tr>
      <w:tr w14:paraId="74D1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277A0975">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2467A78D">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49" w:name="标准要求冬季风压得分"/>
            <w:r>
              <w:rPr>
                <w:rFonts w:hint="eastAsia"/>
                <w:sz w:val="18"/>
                <w:szCs w:val="18"/>
                <w:lang w:val="en-US"/>
              </w:rPr>
              <w:t>2</w:t>
            </w:r>
            <w:bookmarkEnd w:id="149"/>
            <w:r>
              <w:rPr>
                <w:rFonts w:hint="eastAsia"/>
                <w:sz w:val="18"/>
                <w:szCs w:val="18"/>
                <w:lang w:val="en-US"/>
              </w:rPr>
              <w:t>分</w:t>
            </w:r>
          </w:p>
        </w:tc>
        <w:tc>
          <w:tcPr>
            <w:tcW w:w="2127" w:type="dxa"/>
            <w:shd w:val="clear" w:color="auto" w:fill="auto"/>
            <w:vAlign w:val="center"/>
          </w:tcPr>
          <w:p w14:paraId="70039928">
            <w:pPr>
              <w:spacing w:line="300" w:lineRule="exact"/>
              <w:jc w:val="center"/>
              <w:rPr>
                <w:sz w:val="18"/>
                <w:szCs w:val="18"/>
                <w:lang w:val="en-US"/>
              </w:rPr>
            </w:pPr>
            <w:r>
              <w:rPr>
                <w:rFonts w:hint="eastAsia"/>
                <w:sz w:val="18"/>
                <w:szCs w:val="18"/>
                <w:lang w:val="en-US"/>
              </w:rPr>
              <w:t>本项目</w:t>
            </w:r>
            <w:bookmarkStart w:id="150" w:name="冬季迎背风面结果"/>
            <w:r>
              <w:t>没有出现</w:t>
            </w:r>
            <w:bookmarkEnd w:id="150"/>
            <w:r>
              <w:rPr>
                <w:rFonts w:hint="eastAsia"/>
                <w:sz w:val="18"/>
                <w:szCs w:val="18"/>
                <w:lang w:val="en-US"/>
              </w:rPr>
              <w:t>建筑迎风面与背风面表面风压差大于5Pa的建筑</w:t>
            </w:r>
          </w:p>
        </w:tc>
        <w:tc>
          <w:tcPr>
            <w:tcW w:w="1258" w:type="dxa"/>
            <w:shd w:val="clear" w:color="auto" w:fill="auto"/>
            <w:vAlign w:val="center"/>
          </w:tcPr>
          <w:p w14:paraId="4A28AFA1">
            <w:pPr>
              <w:spacing w:line="300" w:lineRule="exact"/>
              <w:jc w:val="center"/>
              <w:rPr>
                <w:sz w:val="18"/>
                <w:szCs w:val="18"/>
                <w:lang w:val="en-US"/>
              </w:rPr>
            </w:pPr>
            <w:bookmarkStart w:id="151" w:name="冬季迎背风面达标判定"/>
            <w:r>
              <w:rPr>
                <w:rFonts w:hint="eastAsia"/>
                <w:sz w:val="18"/>
                <w:szCs w:val="18"/>
                <w:lang w:val="en-US"/>
              </w:rPr>
              <w:t>达标</w:t>
            </w:r>
            <w:bookmarkEnd w:id="151"/>
          </w:p>
        </w:tc>
        <w:tc>
          <w:tcPr>
            <w:tcW w:w="992" w:type="dxa"/>
            <w:shd w:val="clear" w:color="auto" w:fill="auto"/>
            <w:vAlign w:val="center"/>
          </w:tcPr>
          <w:p w14:paraId="75DFD64C">
            <w:pPr>
              <w:spacing w:line="300" w:lineRule="exact"/>
              <w:jc w:val="center"/>
              <w:rPr>
                <w:sz w:val="18"/>
                <w:szCs w:val="18"/>
                <w:lang w:val="en-US"/>
              </w:rPr>
            </w:pPr>
            <w:bookmarkStart w:id="152" w:name="冬季迎背风面得分"/>
            <w:r>
              <w:rPr>
                <w:rFonts w:hint="eastAsia"/>
                <w:sz w:val="18"/>
                <w:szCs w:val="18"/>
                <w:lang w:val="en-US"/>
              </w:rPr>
              <w:t>2</w:t>
            </w:r>
            <w:bookmarkEnd w:id="152"/>
            <w:r>
              <w:rPr>
                <w:rFonts w:hint="eastAsia"/>
                <w:sz w:val="18"/>
                <w:szCs w:val="18"/>
                <w:lang w:val="en-US"/>
              </w:rPr>
              <w:t>分</w:t>
            </w:r>
          </w:p>
        </w:tc>
      </w:tr>
    </w:tbl>
    <w:p w14:paraId="671F245B">
      <w:pPr>
        <w:rPr>
          <w:sz w:val="18"/>
          <w:szCs w:val="18"/>
          <w:lang w:val="en-US"/>
        </w:rPr>
      </w:pPr>
      <w:bookmarkStart w:id="153" w:name="_Toc509844767"/>
      <w:bookmarkEnd w:id="153"/>
      <w:bookmarkStart w:id="154" w:name="_Toc509844768"/>
      <w:bookmarkEnd w:id="154"/>
    </w:p>
    <w:p w14:paraId="36D6D703">
      <w:pPr>
        <w:pStyle w:val="4"/>
      </w:pPr>
      <w:bookmarkStart w:id="155" w:name="_Toc509844769"/>
      <w:bookmarkStart w:id="156" w:name="_Toc6082"/>
      <w:r>
        <w:rPr>
          <w:rFonts w:hint="eastAsia"/>
        </w:rPr>
        <w:t>过渡季、夏季工况达标判断</w:t>
      </w:r>
      <w:bookmarkEnd w:id="155"/>
      <w:bookmarkEnd w:id="156"/>
    </w:p>
    <w:p w14:paraId="4FEA238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2FED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7DDAAF5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4F09C94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271A688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1B1619F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45E92F9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BD1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6868CC1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159CF43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7" w:name="标准要求夏季风速得分"/>
            <w:r>
              <w:rPr>
                <w:rFonts w:hint="eastAsia" w:ascii="微软雅黑" w:hAnsi="微软雅黑" w:eastAsia="微软雅黑"/>
                <w:sz w:val="18"/>
                <w:szCs w:val="18"/>
                <w:lang w:val="en-US"/>
              </w:rPr>
              <w:t>3</w:t>
            </w:r>
            <w:bookmarkEnd w:id="157"/>
            <w:r>
              <w:rPr>
                <w:rFonts w:hint="eastAsia" w:ascii="微软雅黑" w:hAnsi="微软雅黑" w:eastAsia="微软雅黑"/>
                <w:sz w:val="18"/>
                <w:szCs w:val="18"/>
                <w:lang w:val="en-US"/>
              </w:rPr>
              <w:t>分</w:t>
            </w:r>
          </w:p>
        </w:tc>
        <w:tc>
          <w:tcPr>
            <w:tcW w:w="1985" w:type="dxa"/>
            <w:shd w:val="clear" w:color="auto" w:fill="auto"/>
            <w:vAlign w:val="center"/>
          </w:tcPr>
          <w:p w14:paraId="63F3B045">
            <w:pPr>
              <w:jc w:val="center"/>
              <w:rPr>
                <w:rFonts w:ascii="微软雅黑" w:hAnsi="微软雅黑" w:eastAsia="微软雅黑"/>
                <w:sz w:val="18"/>
                <w:szCs w:val="18"/>
                <w:lang w:val="en-US"/>
              </w:rPr>
            </w:pPr>
            <w:bookmarkStart w:id="158" w:name="夏季无风区结果"/>
            <w:r>
              <w:t>没有</w:t>
            </w:r>
            <w:bookmarkEnd w:id="158"/>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7B4B2CD3">
            <w:pPr>
              <w:jc w:val="center"/>
              <w:rPr>
                <w:rFonts w:ascii="微软雅黑" w:hAnsi="微软雅黑" w:eastAsia="微软雅黑"/>
                <w:sz w:val="18"/>
                <w:szCs w:val="18"/>
                <w:lang w:val="en-US"/>
              </w:rPr>
            </w:pPr>
            <w:bookmarkStart w:id="159" w:name="夏季无风区达标判定"/>
            <w:r>
              <w:rPr>
                <w:rFonts w:hint="eastAsia" w:ascii="微软雅黑" w:hAnsi="微软雅黑" w:eastAsia="微软雅黑"/>
                <w:b/>
                <w:sz w:val="18"/>
                <w:szCs w:val="18"/>
                <w:lang w:val="en-US"/>
              </w:rPr>
              <w:t>达标</w:t>
            </w:r>
            <w:bookmarkEnd w:id="159"/>
          </w:p>
        </w:tc>
        <w:tc>
          <w:tcPr>
            <w:tcW w:w="1276" w:type="dxa"/>
            <w:vMerge w:val="restart"/>
            <w:shd w:val="clear" w:color="auto" w:fill="auto"/>
            <w:vAlign w:val="center"/>
          </w:tcPr>
          <w:p w14:paraId="4827C964">
            <w:pPr>
              <w:jc w:val="center"/>
              <w:rPr>
                <w:rFonts w:ascii="微软雅黑" w:hAnsi="微软雅黑" w:eastAsia="微软雅黑"/>
                <w:sz w:val="18"/>
                <w:szCs w:val="18"/>
                <w:lang w:val="en-US"/>
              </w:rPr>
            </w:pPr>
            <w:bookmarkStart w:id="160" w:name="夏季无风区得分"/>
            <w:r>
              <w:rPr>
                <w:rFonts w:hint="eastAsia" w:ascii="微软雅黑" w:hAnsi="微软雅黑" w:eastAsia="微软雅黑"/>
                <w:sz w:val="18"/>
                <w:szCs w:val="18"/>
                <w:lang w:val="en-US"/>
              </w:rPr>
              <w:t>3</w:t>
            </w:r>
            <w:bookmarkEnd w:id="160"/>
            <w:r>
              <w:rPr>
                <w:rFonts w:hint="eastAsia" w:ascii="微软雅黑" w:hAnsi="微软雅黑" w:eastAsia="微软雅黑"/>
                <w:sz w:val="18"/>
                <w:szCs w:val="18"/>
                <w:lang w:val="en-US"/>
              </w:rPr>
              <w:t>分</w:t>
            </w:r>
          </w:p>
        </w:tc>
      </w:tr>
      <w:tr w14:paraId="681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3F76CC1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7C159A58">
            <w:pPr>
              <w:jc w:val="center"/>
              <w:rPr>
                <w:rFonts w:ascii="微软雅黑" w:hAnsi="微软雅黑" w:eastAsia="微软雅黑"/>
                <w:sz w:val="18"/>
                <w:szCs w:val="18"/>
                <w:lang w:val="en-US"/>
              </w:rPr>
            </w:pPr>
          </w:p>
        </w:tc>
        <w:tc>
          <w:tcPr>
            <w:tcW w:w="1985" w:type="dxa"/>
            <w:shd w:val="clear" w:color="auto" w:fill="auto"/>
            <w:vAlign w:val="center"/>
          </w:tcPr>
          <w:p w14:paraId="41D66C7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1CDBA848">
            <w:pPr>
              <w:jc w:val="center"/>
              <w:rPr>
                <w:rFonts w:ascii="微软雅黑" w:hAnsi="微软雅黑" w:eastAsia="微软雅黑"/>
                <w:sz w:val="18"/>
                <w:szCs w:val="18"/>
                <w:lang w:val="en-US"/>
              </w:rPr>
            </w:pPr>
          </w:p>
        </w:tc>
        <w:tc>
          <w:tcPr>
            <w:tcW w:w="1276" w:type="dxa"/>
            <w:vMerge w:val="continue"/>
            <w:shd w:val="clear" w:color="auto" w:fill="auto"/>
            <w:vAlign w:val="center"/>
          </w:tcPr>
          <w:p w14:paraId="6F6B3632">
            <w:pPr>
              <w:jc w:val="center"/>
              <w:rPr>
                <w:rFonts w:ascii="微软雅黑" w:hAnsi="微软雅黑" w:eastAsia="微软雅黑"/>
                <w:sz w:val="18"/>
                <w:szCs w:val="18"/>
                <w:lang w:val="en-US"/>
              </w:rPr>
            </w:pPr>
          </w:p>
        </w:tc>
      </w:tr>
      <w:tr w14:paraId="286A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54E5E46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0009AF6D">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61" w:name="标准要求夏季风压得分"/>
            <w:r>
              <w:rPr>
                <w:rFonts w:hint="eastAsia" w:ascii="微软雅黑" w:hAnsi="微软雅黑" w:eastAsia="微软雅黑"/>
                <w:sz w:val="18"/>
                <w:szCs w:val="18"/>
                <w:lang w:val="en-US"/>
              </w:rPr>
              <w:t>2</w:t>
            </w:r>
            <w:bookmarkEnd w:id="161"/>
            <w:r>
              <w:rPr>
                <w:rFonts w:hint="eastAsia" w:ascii="微软雅黑" w:hAnsi="微软雅黑" w:eastAsia="微软雅黑"/>
                <w:sz w:val="18"/>
                <w:szCs w:val="18"/>
                <w:lang w:val="en-US"/>
              </w:rPr>
              <w:t>分。</w:t>
            </w:r>
          </w:p>
        </w:tc>
        <w:tc>
          <w:tcPr>
            <w:tcW w:w="1985" w:type="dxa"/>
            <w:shd w:val="clear" w:color="auto" w:fill="auto"/>
            <w:vAlign w:val="center"/>
          </w:tcPr>
          <w:p w14:paraId="769A1D97">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62" w:name="夏季窗内外风压差结果"/>
            <w:r>
              <w:rPr>
                <w:rFonts w:hint="eastAsia" w:ascii="微软雅黑" w:hAnsi="微软雅黑" w:eastAsia="微软雅黑"/>
                <w:sz w:val="18"/>
                <w:szCs w:val="18"/>
                <w:lang w:val="en-US"/>
              </w:rPr>
              <w:t>满足</w:t>
            </w:r>
            <w:bookmarkEnd w:id="162"/>
            <w:r>
              <w:rPr>
                <w:rFonts w:hint="eastAsia" w:ascii="微软雅黑" w:hAnsi="微软雅黑" w:eastAsia="微软雅黑"/>
                <w:sz w:val="18"/>
                <w:szCs w:val="18"/>
                <w:lang w:val="en-US"/>
              </w:rPr>
              <w:t>标准要求</w:t>
            </w:r>
          </w:p>
        </w:tc>
        <w:tc>
          <w:tcPr>
            <w:tcW w:w="1417" w:type="dxa"/>
            <w:shd w:val="clear" w:color="auto" w:fill="auto"/>
            <w:vAlign w:val="center"/>
          </w:tcPr>
          <w:p w14:paraId="5C0BF3E2">
            <w:pPr>
              <w:jc w:val="center"/>
              <w:rPr>
                <w:rFonts w:ascii="微软雅黑" w:hAnsi="微软雅黑" w:eastAsia="微软雅黑"/>
                <w:b/>
                <w:sz w:val="18"/>
                <w:szCs w:val="18"/>
                <w:lang w:val="en-US"/>
              </w:rPr>
            </w:pPr>
            <w:bookmarkStart w:id="163" w:name="夏季窗内外风压差达标判定"/>
            <w:r>
              <w:rPr>
                <w:rFonts w:hint="eastAsia" w:ascii="微软雅黑" w:hAnsi="微软雅黑" w:eastAsia="微软雅黑"/>
                <w:b/>
                <w:sz w:val="18"/>
                <w:szCs w:val="18"/>
                <w:lang w:val="en-US"/>
              </w:rPr>
              <w:t>达标</w:t>
            </w:r>
            <w:bookmarkEnd w:id="163"/>
          </w:p>
        </w:tc>
        <w:tc>
          <w:tcPr>
            <w:tcW w:w="1276" w:type="dxa"/>
            <w:shd w:val="clear" w:color="auto" w:fill="auto"/>
            <w:vAlign w:val="center"/>
          </w:tcPr>
          <w:p w14:paraId="000B3C87">
            <w:pPr>
              <w:jc w:val="center"/>
              <w:rPr>
                <w:rFonts w:ascii="微软雅黑" w:hAnsi="微软雅黑" w:eastAsia="微软雅黑"/>
                <w:sz w:val="18"/>
                <w:szCs w:val="18"/>
                <w:lang w:val="en-US"/>
              </w:rPr>
            </w:pPr>
            <w:bookmarkStart w:id="164" w:name="夏季窗内外风压差得分"/>
            <w:r>
              <w:rPr>
                <w:rFonts w:hint="eastAsia" w:ascii="微软雅黑" w:hAnsi="微软雅黑" w:eastAsia="微软雅黑"/>
                <w:sz w:val="18"/>
                <w:szCs w:val="18"/>
                <w:lang w:val="en-US"/>
              </w:rPr>
              <w:t>2</w:t>
            </w:r>
            <w:bookmarkEnd w:id="164"/>
            <w:r>
              <w:rPr>
                <w:rFonts w:hint="eastAsia" w:ascii="微软雅黑" w:hAnsi="微软雅黑" w:eastAsia="微软雅黑"/>
                <w:sz w:val="18"/>
                <w:szCs w:val="18"/>
                <w:lang w:val="en-US"/>
              </w:rPr>
              <w:t>分</w:t>
            </w:r>
          </w:p>
        </w:tc>
      </w:tr>
    </w:tbl>
    <w:p w14:paraId="7152223F">
      <w:pPr>
        <w:rPr>
          <w:rFonts w:ascii="微软雅黑" w:hAnsi="微软雅黑" w:eastAsia="微软雅黑"/>
          <w:szCs w:val="21"/>
          <w:lang w:val="en-US"/>
        </w:rPr>
      </w:pPr>
    </w:p>
    <w:p w14:paraId="5697CF15">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5" w:name="总得分"/>
      <w:r>
        <w:rPr>
          <w:rFonts w:hint="eastAsia" w:ascii="微软雅黑" w:hAnsi="微软雅黑" w:eastAsia="微软雅黑"/>
          <w:lang w:val="en-US"/>
        </w:rPr>
        <w:t>10</w:t>
      </w:r>
      <w:bookmarkEnd w:id="165"/>
      <w:r>
        <w:rPr>
          <w:rFonts w:hint="eastAsia" w:ascii="微软雅黑" w:hAnsi="微软雅黑" w:eastAsia="微软雅黑"/>
          <w:lang w:val="en-US"/>
        </w:rPr>
        <w:t>分。</w:t>
      </w:r>
    </w:p>
    <w:p w14:paraId="3561C2E9">
      <w:pPr>
        <w:pStyle w:val="2"/>
      </w:pPr>
      <w:bookmarkStart w:id="166" w:name="_Toc12730"/>
      <w:bookmarkStart w:id="167" w:name="附录"/>
      <w:r>
        <w:rPr>
          <w:rFonts w:hint="eastAsia"/>
        </w:rPr>
        <w:t>附录</w:t>
      </w:r>
      <w:bookmarkEnd w:id="166"/>
    </w:p>
    <w:p w14:paraId="575D5918">
      <w:pPr>
        <w:pStyle w:val="4"/>
      </w:pPr>
      <w:bookmarkStart w:id="168" w:name="_Toc23862"/>
      <w:r>
        <w:rPr>
          <w:rFonts w:hint="eastAsia"/>
        </w:rPr>
        <w:t>参评建筑迎背风面窗平均风压差表</w:t>
      </w:r>
      <w:bookmarkEnd w:id="168"/>
    </w:p>
    <w:p w14:paraId="0C04E006">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69F9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566DA8AC">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291CDDD0">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7203F29F">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6DB44938">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0FBA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420DE8D">
            <w:pPr>
              <w:jc w:val="center"/>
              <w:rPr>
                <w:sz w:val="18"/>
                <w:szCs w:val="18"/>
                <w:lang w:val="en-US"/>
              </w:rPr>
            </w:pPr>
            <w:r>
              <w:rPr>
                <w:rFonts w:hint="eastAsia"/>
                <w:sz w:val="18"/>
                <w:szCs w:val="18"/>
                <w:lang w:val="en-US"/>
              </w:rPr>
              <w:t>1层</w:t>
            </w:r>
          </w:p>
        </w:tc>
        <w:tc>
          <w:tcPr>
            <w:tcW w:w="2410" w:type="dxa"/>
            <w:vAlign w:val="center"/>
          </w:tcPr>
          <w:p w14:paraId="3DC3F6B2">
            <w:pPr>
              <w:jc w:val="center"/>
              <w:rPr>
                <w:sz w:val="18"/>
                <w:szCs w:val="18"/>
                <w:lang w:val="en-US"/>
              </w:rPr>
            </w:pPr>
            <w:r>
              <w:rPr>
                <w:sz w:val="18"/>
                <w:szCs w:val="18"/>
                <w:lang w:val="en-US"/>
              </w:rPr>
              <w:t>3.60</w:t>
            </w:r>
          </w:p>
        </w:tc>
        <w:tc>
          <w:tcPr>
            <w:tcW w:w="2278" w:type="dxa"/>
            <w:vAlign w:val="center"/>
          </w:tcPr>
          <w:p w14:paraId="29F31AAA">
            <w:pPr>
              <w:jc w:val="center"/>
              <w:rPr>
                <w:sz w:val="18"/>
                <w:szCs w:val="18"/>
                <w:lang w:val="en-US"/>
              </w:rPr>
            </w:pPr>
            <w:r>
              <w:rPr>
                <w:sz w:val="18"/>
                <w:szCs w:val="18"/>
                <w:lang w:val="en-US"/>
              </w:rPr>
              <w:t>-7.52</w:t>
            </w:r>
          </w:p>
        </w:tc>
        <w:tc>
          <w:tcPr>
            <w:tcW w:w="2420" w:type="dxa"/>
            <w:vAlign w:val="center"/>
          </w:tcPr>
          <w:p w14:paraId="039ABFED">
            <w:pPr>
              <w:jc w:val="center"/>
              <w:rPr>
                <w:sz w:val="18"/>
                <w:szCs w:val="18"/>
                <w:lang w:val="en-US"/>
              </w:rPr>
            </w:pPr>
            <w:r>
              <w:rPr>
                <w:sz w:val="18"/>
                <w:szCs w:val="18"/>
                <w:lang w:val="en-US"/>
              </w:rPr>
              <w:t>11.12</w:t>
            </w:r>
          </w:p>
        </w:tc>
      </w:tr>
      <w:tr w14:paraId="2046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E3F0AD7">
            <w:pPr>
              <w:jc w:val="center"/>
              <w:rPr>
                <w:sz w:val="18"/>
                <w:szCs w:val="18"/>
                <w:lang w:val="en-US"/>
              </w:rPr>
            </w:pPr>
            <w:r>
              <w:rPr>
                <w:sz w:val="18"/>
                <w:szCs w:val="18"/>
                <w:lang w:val="en-US"/>
              </w:rPr>
              <w:t>2层</w:t>
            </w:r>
          </w:p>
        </w:tc>
        <w:tc>
          <w:tcPr>
            <w:tcW w:w="2410" w:type="dxa"/>
            <w:vAlign w:val="center"/>
          </w:tcPr>
          <w:p w14:paraId="4DD79FC1">
            <w:pPr>
              <w:jc w:val="center"/>
              <w:rPr>
                <w:sz w:val="18"/>
                <w:szCs w:val="18"/>
                <w:lang w:val="en-US"/>
              </w:rPr>
            </w:pPr>
            <w:r>
              <w:rPr>
                <w:sz w:val="18"/>
                <w:szCs w:val="18"/>
                <w:lang w:val="en-US"/>
              </w:rPr>
              <w:t>-2.55</w:t>
            </w:r>
          </w:p>
        </w:tc>
        <w:tc>
          <w:tcPr>
            <w:tcW w:w="2278" w:type="dxa"/>
            <w:vAlign w:val="center"/>
          </w:tcPr>
          <w:p w14:paraId="1ACB6EE5">
            <w:pPr>
              <w:jc w:val="center"/>
              <w:rPr>
                <w:sz w:val="18"/>
                <w:szCs w:val="18"/>
                <w:lang w:val="en-US"/>
              </w:rPr>
            </w:pPr>
            <w:r>
              <w:rPr>
                <w:sz w:val="18"/>
                <w:szCs w:val="18"/>
                <w:lang w:val="en-US"/>
              </w:rPr>
              <w:t>-2.52</w:t>
            </w:r>
          </w:p>
        </w:tc>
        <w:tc>
          <w:tcPr>
            <w:tcW w:w="2420" w:type="dxa"/>
            <w:vAlign w:val="center"/>
          </w:tcPr>
          <w:p w14:paraId="6EBB373D">
            <w:pPr>
              <w:jc w:val="center"/>
              <w:rPr>
                <w:sz w:val="18"/>
                <w:szCs w:val="18"/>
                <w:lang w:val="en-US"/>
              </w:rPr>
            </w:pPr>
            <w:r>
              <w:rPr>
                <w:sz w:val="18"/>
                <w:szCs w:val="18"/>
                <w:lang w:val="en-US"/>
              </w:rPr>
              <w:t>-0.03</w:t>
            </w:r>
          </w:p>
        </w:tc>
      </w:tr>
      <w:tr w14:paraId="17BB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509D8545">
            <w:pPr>
              <w:jc w:val="center"/>
              <w:rPr>
                <w:sz w:val="18"/>
                <w:szCs w:val="18"/>
                <w:lang w:val="en-US"/>
              </w:rPr>
            </w:pPr>
            <w:r>
              <w:rPr>
                <w:sz w:val="18"/>
                <w:szCs w:val="18"/>
                <w:lang w:val="en-US"/>
              </w:rPr>
              <w:t>3层</w:t>
            </w:r>
          </w:p>
        </w:tc>
        <w:tc>
          <w:tcPr>
            <w:tcW w:w="2410" w:type="dxa"/>
            <w:vAlign w:val="center"/>
          </w:tcPr>
          <w:p w14:paraId="3CDF526A">
            <w:pPr>
              <w:jc w:val="center"/>
              <w:rPr>
                <w:sz w:val="18"/>
                <w:szCs w:val="18"/>
                <w:lang w:val="en-US"/>
              </w:rPr>
            </w:pPr>
            <w:r>
              <w:rPr>
                <w:sz w:val="18"/>
                <w:szCs w:val="18"/>
                <w:lang w:val="en-US"/>
              </w:rPr>
              <w:t>3.14</w:t>
            </w:r>
          </w:p>
        </w:tc>
        <w:tc>
          <w:tcPr>
            <w:tcW w:w="2278" w:type="dxa"/>
            <w:vAlign w:val="center"/>
          </w:tcPr>
          <w:p w14:paraId="47D13CE9">
            <w:pPr>
              <w:jc w:val="center"/>
              <w:rPr>
                <w:sz w:val="18"/>
                <w:szCs w:val="18"/>
                <w:lang w:val="en-US"/>
              </w:rPr>
            </w:pPr>
            <w:r>
              <w:rPr>
                <w:sz w:val="18"/>
                <w:szCs w:val="18"/>
                <w:lang w:val="en-US"/>
              </w:rPr>
              <w:t>-2.35</w:t>
            </w:r>
          </w:p>
        </w:tc>
        <w:tc>
          <w:tcPr>
            <w:tcW w:w="2420" w:type="dxa"/>
            <w:vAlign w:val="center"/>
          </w:tcPr>
          <w:p w14:paraId="7D4E1F6E">
            <w:pPr>
              <w:jc w:val="center"/>
              <w:rPr>
                <w:sz w:val="18"/>
                <w:szCs w:val="18"/>
                <w:lang w:val="en-US"/>
              </w:rPr>
            </w:pPr>
            <w:r>
              <w:rPr>
                <w:sz w:val="18"/>
                <w:szCs w:val="18"/>
                <w:lang w:val="en-US"/>
              </w:rPr>
              <w:t>5.49</w:t>
            </w:r>
          </w:p>
        </w:tc>
      </w:tr>
      <w:tr w14:paraId="79E6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5D53C1B4">
            <w:pPr>
              <w:jc w:val="center"/>
              <w:rPr>
                <w:sz w:val="18"/>
                <w:szCs w:val="18"/>
                <w:lang w:val="en-US"/>
              </w:rPr>
            </w:pPr>
            <w:r>
              <w:rPr>
                <w:rFonts w:hint="eastAsia"/>
                <w:sz w:val="18"/>
                <w:szCs w:val="18"/>
                <w:lang w:val="en-US"/>
              </w:rPr>
              <w:t>4层</w:t>
            </w:r>
          </w:p>
        </w:tc>
        <w:tc>
          <w:tcPr>
            <w:tcW w:w="2410" w:type="dxa"/>
            <w:vAlign w:val="center"/>
          </w:tcPr>
          <w:p w14:paraId="65CBBC9A">
            <w:pPr>
              <w:jc w:val="center"/>
              <w:rPr>
                <w:sz w:val="18"/>
                <w:szCs w:val="18"/>
                <w:lang w:val="en-US"/>
              </w:rPr>
            </w:pPr>
            <w:r>
              <w:rPr>
                <w:sz w:val="18"/>
                <w:szCs w:val="18"/>
                <w:lang w:val="en-US"/>
              </w:rPr>
              <w:t>-3.58</w:t>
            </w:r>
          </w:p>
        </w:tc>
        <w:tc>
          <w:tcPr>
            <w:tcW w:w="2278" w:type="dxa"/>
            <w:vAlign w:val="center"/>
          </w:tcPr>
          <w:p w14:paraId="6CF6F1C4">
            <w:pPr>
              <w:jc w:val="center"/>
              <w:rPr>
                <w:sz w:val="18"/>
                <w:szCs w:val="18"/>
                <w:lang w:val="en-US"/>
              </w:rPr>
            </w:pPr>
            <w:r>
              <w:rPr>
                <w:sz w:val="18"/>
                <w:szCs w:val="18"/>
                <w:lang w:val="en-US"/>
              </w:rPr>
              <w:t>0.00</w:t>
            </w:r>
          </w:p>
        </w:tc>
        <w:tc>
          <w:tcPr>
            <w:tcW w:w="2420" w:type="dxa"/>
            <w:vAlign w:val="center"/>
          </w:tcPr>
          <w:p w14:paraId="2A898F17">
            <w:pPr>
              <w:jc w:val="center"/>
              <w:rPr>
                <w:sz w:val="18"/>
                <w:szCs w:val="18"/>
                <w:lang w:val="en-US"/>
              </w:rPr>
            </w:pPr>
            <w:r>
              <w:rPr>
                <w:sz w:val="18"/>
                <w:szCs w:val="18"/>
                <w:lang w:val="en-US"/>
              </w:rPr>
              <w:t>-3.58</w:t>
            </w:r>
          </w:p>
        </w:tc>
      </w:tr>
      <w:tr w14:paraId="67CEC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9B7058E">
            <w:pPr>
              <w:jc w:val="center"/>
              <w:rPr>
                <w:sz w:val="18"/>
                <w:szCs w:val="18"/>
                <w:lang w:val="en-US"/>
              </w:rPr>
            </w:pPr>
            <w:r>
              <w:rPr>
                <w:rFonts w:hint="eastAsia"/>
                <w:sz w:val="18"/>
                <w:szCs w:val="18"/>
                <w:lang w:val="en-US"/>
              </w:rPr>
              <w:t>整楼</w:t>
            </w:r>
          </w:p>
        </w:tc>
        <w:tc>
          <w:tcPr>
            <w:tcW w:w="2410" w:type="dxa"/>
            <w:vAlign w:val="center"/>
          </w:tcPr>
          <w:p w14:paraId="71B0F1B1">
            <w:pPr>
              <w:jc w:val="center"/>
              <w:rPr>
                <w:sz w:val="18"/>
                <w:szCs w:val="18"/>
                <w:lang w:val="en-US"/>
              </w:rPr>
            </w:pPr>
            <w:r>
              <w:rPr>
                <w:sz w:val="18"/>
                <w:szCs w:val="18"/>
                <w:lang w:val="en-US"/>
              </w:rPr>
              <w:t>-1.34</w:t>
            </w:r>
          </w:p>
        </w:tc>
        <w:tc>
          <w:tcPr>
            <w:tcW w:w="2278" w:type="dxa"/>
            <w:vAlign w:val="center"/>
          </w:tcPr>
          <w:p w14:paraId="6390110F">
            <w:pPr>
              <w:jc w:val="center"/>
              <w:rPr>
                <w:sz w:val="18"/>
                <w:szCs w:val="18"/>
                <w:lang w:val="en-US"/>
              </w:rPr>
            </w:pPr>
            <w:r>
              <w:rPr>
                <w:sz w:val="18"/>
                <w:szCs w:val="18"/>
                <w:lang w:val="en-US"/>
              </w:rPr>
              <w:t>-4.10</w:t>
            </w:r>
          </w:p>
        </w:tc>
        <w:tc>
          <w:tcPr>
            <w:tcW w:w="2420" w:type="dxa"/>
            <w:vAlign w:val="center"/>
          </w:tcPr>
          <w:p w14:paraId="2415F13B">
            <w:pPr>
              <w:jc w:val="center"/>
              <w:rPr>
                <w:sz w:val="18"/>
                <w:szCs w:val="18"/>
                <w:lang w:val="en-US"/>
              </w:rPr>
            </w:pPr>
            <w:r>
              <w:rPr>
                <w:sz w:val="18"/>
                <w:szCs w:val="18"/>
                <w:lang w:val="en-US"/>
              </w:rPr>
              <w:t>2.76</w:t>
            </w:r>
          </w:p>
        </w:tc>
      </w:tr>
      <w:bookmarkEnd w:id="0"/>
      <w:bookmarkEnd w:id="2"/>
    </w:tbl>
    <w:p w14:paraId="70A3BC72"/>
    <w:p w14:paraId="284548DC">
      <w:pPr>
        <w:pStyle w:val="3"/>
        <w:ind w:left="420" w:firstLine="0" w:firstLineChars="0"/>
        <w:rPr>
          <w:rFonts w:ascii="微软雅黑" w:hAnsi="微软雅黑" w:eastAsia="微软雅黑"/>
          <w:lang w:val="en-US"/>
        </w:rPr>
      </w:pPr>
      <w:bookmarkStart w:id="169" w:name="迎风建筑信息参评"/>
      <w:bookmarkEnd w:id="169"/>
    </w:p>
    <w:p w14:paraId="5A0E62EF">
      <w:pPr>
        <w:pStyle w:val="4"/>
      </w:pPr>
      <w:bookmarkStart w:id="170" w:name="_Toc24390"/>
      <w:r>
        <w:rPr>
          <w:rFonts w:hint="eastAsia"/>
        </w:rPr>
        <w:t>不参评建筑迎背风面窗平均风压差表</w:t>
      </w:r>
      <w:bookmarkEnd w:id="170"/>
    </w:p>
    <w:p w14:paraId="696F51FF">
      <w:pPr>
        <w:pStyle w:val="3"/>
        <w:ind w:left="420" w:firstLine="0" w:firstLineChars="0"/>
        <w:rPr>
          <w:rFonts w:ascii="微软雅黑" w:hAnsi="微软雅黑" w:eastAsia="微软雅黑"/>
          <w:lang w:val="en-US"/>
        </w:rPr>
      </w:pPr>
      <w:bookmarkStart w:id="171" w:name="迎风建筑信息不参评"/>
      <w:bookmarkEnd w:id="171"/>
    </w:p>
    <w:bookmarkEnd w:id="167"/>
    <w:p w14:paraId="4FF52AEE">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E91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D3DCC0F">
          <w:pPr>
            <w:pStyle w:val="20"/>
            <w:spacing w:line="360" w:lineRule="exact"/>
            <w:rPr>
              <w:sz w:val="20"/>
              <w:szCs w:val="21"/>
            </w:rPr>
          </w:pPr>
        </w:p>
      </w:tc>
      <w:tc>
        <w:tcPr>
          <w:tcW w:w="2841" w:type="dxa"/>
        </w:tcPr>
        <w:p w14:paraId="6A58622B">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EC2154C">
          <w:pPr>
            <w:pStyle w:val="20"/>
            <w:spacing w:line="360" w:lineRule="exact"/>
            <w:jc w:val="right"/>
            <w:rPr>
              <w:sz w:val="20"/>
              <w:szCs w:val="21"/>
            </w:rPr>
          </w:pPr>
        </w:p>
      </w:tc>
    </w:tr>
  </w:tbl>
  <w:p w14:paraId="3030484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92A9">
    <w:pPr>
      <w:pStyle w:val="20"/>
      <w:jc w:val="center"/>
      <w:rPr>
        <w:rFonts w:asciiTheme="minorEastAsia" w:hAnsiTheme="minorEastAsia" w:eastAsiaTheme="minorEastAsia"/>
        <w:szCs w:val="21"/>
      </w:rPr>
    </w:pPr>
  </w:p>
  <w:p w14:paraId="7F04B2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1CEF">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626F9"/>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 w:val="78E6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qFormat/>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qFormat/>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wmf"/><Relationship Id="rId22" Type="http://schemas.openxmlformats.org/officeDocument/2006/relationships/oleObject" Target="embeddings/oleObject4.bin"/><Relationship Id="rId21" Type="http://schemas.openxmlformats.org/officeDocument/2006/relationships/image" Target="media/image1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2.bin"/><Relationship Id="rId17" Type="http://schemas.openxmlformats.org/officeDocument/2006/relationships/image" Target="media/image11.wmf"/><Relationship Id="rId16" Type="http://schemas.openxmlformats.org/officeDocument/2006/relationships/oleObject" Target="embeddings/oleObject1.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tmp6.dotx</Template>
  <Pages>24</Pages>
  <Words>6311</Words>
  <Characters>7200</Characters>
  <Lines>47</Lines>
  <Paragraphs>13</Paragraphs>
  <TotalTime>0</TotalTime>
  <ScaleCrop>false</ScaleCrop>
  <LinksUpToDate>false</LinksUpToDate>
  <CharactersWithSpaces>9433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2025-12-19T16:30:00Z</dcterms:created>
  <dc:creator>娅娅</dc:creator>
  <cp:lastModifiedBy>娅娅</cp:lastModifiedBy>
  <dcterms:modified xsi:type="dcterms:W3CDTF">2025-12-19T16:31:18Z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47E2001C548E4D93826887AF3E1A872D_11</vt:lpwstr>
  </property>
  <property fmtid="{D5CDD505-2E9C-101B-9397-08002B2CF9AE}" pid="4" name="KSOTemplateDocerSaveRecord">
    <vt:lpwstr>eyJoZGlkIjoiODZkNjFmZTJjNjQ0Y2Q4NGMyMzYxYzhhYjJkNWQyNTgiLCJ1c2VySWQiOiI3NTM5Njk3MzEifQ==</vt:lpwstr>
  </property>
</Properties>
</file>