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6C33">
      <w:pPr>
        <w:pStyle w:val="48"/>
      </w:pPr>
    </w:p>
    <w:p w14:paraId="5736E797">
      <w:pPr>
        <w:pStyle w:val="48"/>
      </w:pPr>
    </w:p>
    <w:p w14:paraId="19B7AD25">
      <w:pPr>
        <w:pStyle w:val="48"/>
        <w:jc w:val="distribute"/>
        <w:rPr>
          <w:b/>
          <w:sz w:val="72"/>
          <w:szCs w:val="72"/>
        </w:rPr>
      </w:pPr>
      <w:r>
        <w:rPr>
          <w:rFonts w:hint="eastAsia"/>
          <w:b/>
          <w:sz w:val="72"/>
          <w:szCs w:val="72"/>
        </w:rPr>
        <w:t>室内气流组织分析报告</w:t>
      </w:r>
    </w:p>
    <w:p w14:paraId="6B8C5AC3">
      <w:pPr>
        <w:pStyle w:val="52"/>
        <w:spacing w:line="400" w:lineRule="exact"/>
      </w:pPr>
    </w:p>
    <w:p w14:paraId="12959882">
      <w:pPr>
        <w:pStyle w:val="52"/>
        <w:rPr>
          <w:b/>
        </w:rPr>
      </w:pPr>
      <w:bookmarkStart w:id="0" w:name="项目名称"/>
      <w:bookmarkEnd w:id="0"/>
    </w:p>
    <w:p w14:paraId="677796C4">
      <w:pPr>
        <w:pStyle w:val="52"/>
        <w:rPr>
          <w:b/>
        </w:rPr>
      </w:pPr>
      <w:r>
        <w:rPr>
          <w:rFonts w:hint="eastAsia"/>
          <w:b/>
        </w:rPr>
        <w:t>设计编号：</w:t>
      </w:r>
      <w:bookmarkStart w:id="1" w:name="设计编号"/>
      <w:bookmarkEnd w:id="1"/>
    </w:p>
    <w:p w14:paraId="5C247A4E">
      <w:pPr>
        <w:pStyle w:val="52"/>
        <w:rPr>
          <w:b/>
        </w:rPr>
      </w:pPr>
    </w:p>
    <w:p w14:paraId="62C39724">
      <w:pPr>
        <w:pStyle w:val="48"/>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5F3E0FD">
      <w:pPr>
        <w:pStyle w:val="48"/>
        <w:jc w:val="center"/>
      </w:pPr>
    </w:p>
    <w:p w14:paraId="1F7977BE">
      <w:pPr>
        <w:pStyle w:val="48"/>
        <w:jc w:val="cente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865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27E720">
            <w:pPr>
              <w:pStyle w:val="48"/>
              <w:spacing w:line="600" w:lineRule="exact"/>
              <w:jc w:val="distribute"/>
            </w:pPr>
            <w:r>
              <w:rPr>
                <w:rFonts w:hint="eastAsia"/>
              </w:rPr>
              <w:t>工程地点</w:t>
            </w:r>
          </w:p>
        </w:tc>
        <w:tc>
          <w:tcPr>
            <w:tcW w:w="475" w:type="dxa"/>
            <w:vAlign w:val="center"/>
          </w:tcPr>
          <w:p w14:paraId="4AEE0C79">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4B5AC59">
            <w:pPr>
              <w:pStyle w:val="48"/>
              <w:spacing w:line="600" w:lineRule="exact"/>
              <w:jc w:val="center"/>
            </w:pPr>
            <w:bookmarkStart w:id="3" w:name="工程地点"/>
            <w:bookmarkEnd w:id="3"/>
            <w:bookmarkStart w:id="4" w:name="项目地点"/>
            <w:r>
              <w:t>郑州</w:t>
            </w:r>
            <w:bookmarkEnd w:id="4"/>
          </w:p>
        </w:tc>
      </w:tr>
      <w:tr w14:paraId="3D24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625699">
            <w:pPr>
              <w:pStyle w:val="48"/>
              <w:spacing w:line="600" w:lineRule="exact"/>
              <w:jc w:val="distribute"/>
            </w:pPr>
            <w:r>
              <w:rPr>
                <w:rFonts w:hint="eastAsia"/>
              </w:rPr>
              <w:t>建设单位</w:t>
            </w:r>
          </w:p>
        </w:tc>
        <w:tc>
          <w:tcPr>
            <w:tcW w:w="475" w:type="dxa"/>
            <w:vAlign w:val="center"/>
          </w:tcPr>
          <w:p w14:paraId="3B9F634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290F3BF">
            <w:pPr>
              <w:pStyle w:val="48"/>
              <w:spacing w:line="600" w:lineRule="exact"/>
              <w:jc w:val="center"/>
            </w:pPr>
            <w:bookmarkStart w:id="5" w:name="建设单位"/>
            <w:bookmarkEnd w:id="5"/>
          </w:p>
        </w:tc>
      </w:tr>
      <w:tr w14:paraId="279D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B2F729">
            <w:pPr>
              <w:pStyle w:val="48"/>
              <w:spacing w:line="600" w:lineRule="exact"/>
              <w:jc w:val="distribute"/>
            </w:pPr>
            <w:r>
              <w:rPr>
                <w:rFonts w:hint="eastAsia"/>
              </w:rPr>
              <w:t>设计单位</w:t>
            </w:r>
          </w:p>
        </w:tc>
        <w:tc>
          <w:tcPr>
            <w:tcW w:w="475" w:type="dxa"/>
            <w:vAlign w:val="center"/>
          </w:tcPr>
          <w:p w14:paraId="1E90276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0BD7B82">
            <w:pPr>
              <w:pStyle w:val="48"/>
              <w:spacing w:line="600" w:lineRule="exact"/>
              <w:jc w:val="center"/>
            </w:pPr>
            <w:bookmarkStart w:id="6" w:name="设计单位"/>
            <w:bookmarkEnd w:id="6"/>
          </w:p>
        </w:tc>
      </w:tr>
      <w:tr w14:paraId="7E6D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91E645">
            <w:pPr>
              <w:pStyle w:val="48"/>
              <w:spacing w:line="600" w:lineRule="exact"/>
              <w:jc w:val="distribute"/>
            </w:pPr>
            <w:r>
              <w:rPr>
                <w:rFonts w:hint="eastAsia"/>
              </w:rPr>
              <w:t>设计人</w:t>
            </w:r>
          </w:p>
        </w:tc>
        <w:tc>
          <w:tcPr>
            <w:tcW w:w="475" w:type="dxa"/>
            <w:vAlign w:val="center"/>
          </w:tcPr>
          <w:p w14:paraId="48B8B99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B011ED4">
            <w:pPr>
              <w:pStyle w:val="48"/>
              <w:spacing w:line="600" w:lineRule="exact"/>
              <w:jc w:val="center"/>
            </w:pPr>
          </w:p>
        </w:tc>
      </w:tr>
      <w:tr w14:paraId="5416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4BC498">
            <w:pPr>
              <w:pStyle w:val="48"/>
              <w:spacing w:line="600" w:lineRule="exact"/>
              <w:jc w:val="distribute"/>
            </w:pPr>
            <w:r>
              <w:rPr>
                <w:rFonts w:hint="eastAsia"/>
              </w:rPr>
              <w:t>校对人</w:t>
            </w:r>
          </w:p>
        </w:tc>
        <w:tc>
          <w:tcPr>
            <w:tcW w:w="475" w:type="dxa"/>
            <w:vAlign w:val="center"/>
          </w:tcPr>
          <w:p w14:paraId="6F940E4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56A0BC2">
            <w:pPr>
              <w:pStyle w:val="48"/>
              <w:spacing w:line="600" w:lineRule="exact"/>
              <w:jc w:val="center"/>
            </w:pPr>
          </w:p>
        </w:tc>
      </w:tr>
      <w:tr w14:paraId="53F9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43E383">
            <w:pPr>
              <w:pStyle w:val="48"/>
              <w:spacing w:line="600" w:lineRule="exact"/>
              <w:jc w:val="distribute"/>
            </w:pPr>
            <w:r>
              <w:rPr>
                <w:rFonts w:hint="eastAsia"/>
              </w:rPr>
              <w:t>审定人</w:t>
            </w:r>
          </w:p>
        </w:tc>
        <w:tc>
          <w:tcPr>
            <w:tcW w:w="475" w:type="dxa"/>
            <w:vAlign w:val="center"/>
          </w:tcPr>
          <w:p w14:paraId="6409D7A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5A40F56">
            <w:pPr>
              <w:pStyle w:val="48"/>
              <w:spacing w:line="600" w:lineRule="exact"/>
              <w:jc w:val="center"/>
            </w:pPr>
          </w:p>
        </w:tc>
      </w:tr>
      <w:tr w14:paraId="5F00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E2941F">
            <w:pPr>
              <w:pStyle w:val="48"/>
              <w:spacing w:line="600" w:lineRule="exact"/>
              <w:jc w:val="distribute"/>
            </w:pPr>
            <w:r>
              <w:rPr>
                <w:rFonts w:hint="eastAsia"/>
              </w:rPr>
              <w:t>报告日期</w:t>
            </w:r>
          </w:p>
        </w:tc>
        <w:tc>
          <w:tcPr>
            <w:tcW w:w="475" w:type="dxa"/>
            <w:vAlign w:val="center"/>
          </w:tcPr>
          <w:p w14:paraId="6FC4E24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CFEF042">
            <w:pPr>
              <w:pStyle w:val="48"/>
              <w:spacing w:line="600" w:lineRule="exact"/>
              <w:jc w:val="center"/>
            </w:pPr>
            <w:bookmarkStart w:id="7" w:name="报告日期"/>
            <w:r>
              <w:t>2025年10月22日</w:t>
            </w:r>
            <w:bookmarkEnd w:id="7"/>
          </w:p>
        </w:tc>
      </w:tr>
    </w:tbl>
    <w:p w14:paraId="057AA432"/>
    <w:p w14:paraId="7D15256F">
      <w:pPr>
        <w:pStyle w:val="50"/>
      </w:pPr>
    </w:p>
    <w:tbl>
      <w:tblPr>
        <w:tblStyle w:val="23"/>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2F671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46A4CF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FE6D1A2">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5171668">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4FD62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C322A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2C5B445">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9CF5B22">
            <w:pPr>
              <w:spacing w:line="360" w:lineRule="exact"/>
              <w:ind w:firstLine="360"/>
              <w:rPr>
                <w:sz w:val="18"/>
                <w:szCs w:val="18"/>
              </w:rPr>
            </w:pPr>
          </w:p>
        </w:tc>
      </w:tr>
      <w:tr w14:paraId="0C073E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5F5EBF">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ED3EAF4">
            <w:pPr>
              <w:pStyle w:val="50"/>
              <w:rPr>
                <w:szCs w:val="18"/>
              </w:rPr>
            </w:pPr>
            <w:r>
              <w:rPr>
                <w:rFonts w:hint="eastAsia"/>
                <w:szCs w:val="18"/>
              </w:rPr>
              <w:t xml:space="preserve">: </w:t>
            </w:r>
            <w:bookmarkStart w:id="10" w:name="加密锁号"/>
            <w:r>
              <w:rPr>
                <w:rFonts w:hint="eastAsia"/>
                <w:szCs w:val="18"/>
              </w:rPr>
              <w:t>T18530616730</w:t>
            </w:r>
            <w:bookmarkEnd w:id="10"/>
          </w:p>
        </w:tc>
        <w:tc>
          <w:tcPr>
            <w:tcW w:w="3958" w:type="dxa"/>
            <w:vMerge w:val="continue"/>
            <w:tcBorders>
              <w:top w:val="single" w:color="auto" w:sz="2" w:space="0"/>
              <w:left w:val="nil"/>
              <w:bottom w:val="nil"/>
              <w:right w:val="nil"/>
            </w:tcBorders>
            <w:vAlign w:val="center"/>
          </w:tcPr>
          <w:p w14:paraId="5A4B1BDC">
            <w:pPr>
              <w:spacing w:line="360" w:lineRule="exact"/>
              <w:ind w:firstLine="360"/>
              <w:rPr>
                <w:sz w:val="18"/>
                <w:szCs w:val="18"/>
              </w:rPr>
            </w:pPr>
          </w:p>
        </w:tc>
      </w:tr>
      <w:tr w14:paraId="610B98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B4D8A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99EC34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6638EBD">
            <w:pPr>
              <w:spacing w:line="360" w:lineRule="exact"/>
              <w:ind w:firstLine="360"/>
              <w:rPr>
                <w:sz w:val="18"/>
                <w:szCs w:val="18"/>
              </w:rPr>
            </w:pPr>
          </w:p>
        </w:tc>
      </w:tr>
    </w:tbl>
    <w:p w14:paraId="2C2D6C00">
      <w:pPr>
        <w:jc w:val="center"/>
        <w:rPr>
          <w:b/>
          <w:bCs/>
          <w:sz w:val="32"/>
          <w:szCs w:val="32"/>
        </w:rPr>
      </w:pPr>
      <w:r>
        <w:rPr>
          <w:b/>
          <w:bCs/>
          <w:sz w:val="28"/>
          <w:szCs w:val="32"/>
        </w:rPr>
        <w:br w:type="page"/>
      </w:r>
      <w:r>
        <w:rPr>
          <w:rFonts w:hint="eastAsia"/>
          <w:b/>
          <w:bCs/>
          <w:sz w:val="28"/>
          <w:szCs w:val="32"/>
        </w:rPr>
        <w:t>目  录</w:t>
      </w:r>
    </w:p>
    <w:p w14:paraId="4A434D9D">
      <w:pPr>
        <w:pStyle w:val="20"/>
        <w:tabs>
          <w:tab w:val="right" w:leader="dot" w:pos="8306"/>
          <w:tab w:val="clear" w:pos="180"/>
          <w:tab w:val="clear" w:pos="420"/>
          <w:tab w:val="clear" w:pos="8222"/>
          <w:tab w:val="clear" w:pos="8296"/>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_Toc10373 </w:instrText>
      </w:r>
      <w:r>
        <w:rPr>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_Toc10373 \h </w:instrText>
      </w:r>
      <w:r>
        <w:fldChar w:fldCharType="separate"/>
      </w:r>
      <w:r>
        <w:t>3</w:t>
      </w:r>
      <w:r>
        <w:fldChar w:fldCharType="end"/>
      </w:r>
      <w:r>
        <w:rPr>
          <w:caps/>
        </w:rPr>
        <w:fldChar w:fldCharType="end"/>
      </w:r>
    </w:p>
    <w:p w14:paraId="1644478B">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_Toc21681 </w:instrText>
      </w:r>
      <w:r>
        <w:rPr>
          <w:caps/>
        </w:rPr>
        <w:fldChar w:fldCharType="separate"/>
      </w:r>
      <w:r>
        <w:rPr>
          <w:rFonts w:hint="eastAsia" w:ascii="微软雅黑" w:hAnsi="微软雅黑" w:eastAsia="微软雅黑"/>
          <w:lang w:val="en-GB"/>
        </w:rPr>
        <w:t xml:space="preserve">1.1 </w:t>
      </w:r>
      <w:r>
        <w:t>平面图</w:t>
      </w:r>
      <w:r>
        <w:tab/>
      </w:r>
      <w:r>
        <w:fldChar w:fldCharType="begin"/>
      </w:r>
      <w:r>
        <w:instrText xml:space="preserve"> PAGEREF _Toc21681 \h </w:instrText>
      </w:r>
      <w:r>
        <w:fldChar w:fldCharType="separate"/>
      </w:r>
      <w:r>
        <w:t>3</w:t>
      </w:r>
      <w:r>
        <w:fldChar w:fldCharType="end"/>
      </w:r>
      <w:r>
        <w:rPr>
          <w:caps/>
        </w:rPr>
        <w:fldChar w:fldCharType="end"/>
      </w:r>
    </w:p>
    <w:p w14:paraId="6BD51A5D">
      <w:pPr>
        <w:pStyle w:val="21"/>
        <w:tabs>
          <w:tab w:val="right" w:leader="dot" w:pos="8306"/>
          <w:tab w:val="clear" w:pos="540"/>
          <w:tab w:val="clear" w:pos="840"/>
          <w:tab w:val="clear" w:pos="8222"/>
          <w:tab w:val="clear" w:pos="8296"/>
        </w:tabs>
      </w:pPr>
      <w:r>
        <w:rPr>
          <w:caps/>
        </w:rPr>
        <w:fldChar w:fldCharType="begin"/>
      </w:r>
      <w:r>
        <w:rPr>
          <w:caps/>
        </w:rPr>
        <w:instrText xml:space="preserve"> HYPERLINK \l _Toc5091 </w:instrText>
      </w:r>
      <w:r>
        <w:rPr>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_Toc5091 \h </w:instrText>
      </w:r>
      <w:r>
        <w:fldChar w:fldCharType="separate"/>
      </w:r>
      <w:r>
        <w:t>3</w:t>
      </w:r>
      <w:r>
        <w:fldChar w:fldCharType="end"/>
      </w:r>
      <w:r>
        <w:rPr>
          <w:caps/>
        </w:rPr>
        <w:fldChar w:fldCharType="end"/>
      </w:r>
    </w:p>
    <w:p w14:paraId="65474F59">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_Toc16026 </w:instrText>
      </w:r>
      <w:r>
        <w:rPr>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_Toc16026 \h </w:instrText>
      </w:r>
      <w:r>
        <w:fldChar w:fldCharType="separate"/>
      </w:r>
      <w:r>
        <w:t>4</w:t>
      </w:r>
      <w:r>
        <w:fldChar w:fldCharType="end"/>
      </w:r>
      <w:r>
        <w:rPr>
          <w:caps/>
        </w:rPr>
        <w:fldChar w:fldCharType="end"/>
      </w:r>
    </w:p>
    <w:p w14:paraId="63C67163">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_Toc11070 </w:instrText>
      </w:r>
      <w:r>
        <w:rPr>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_Toc11070 \h </w:instrText>
      </w:r>
      <w:r>
        <w:fldChar w:fldCharType="separate"/>
      </w:r>
      <w:r>
        <w:t>4</w:t>
      </w:r>
      <w:r>
        <w:fldChar w:fldCharType="end"/>
      </w:r>
      <w:r>
        <w:rPr>
          <w:caps/>
        </w:rPr>
        <w:fldChar w:fldCharType="end"/>
      </w:r>
    </w:p>
    <w:p w14:paraId="40298233">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_Toc28140 </w:instrText>
      </w:r>
      <w:r>
        <w:rPr>
          <w:caps/>
        </w:rPr>
        <w:fldChar w:fldCharType="separate"/>
      </w:r>
      <w:r>
        <w:rPr>
          <w:rFonts w:hint="eastAsia" w:ascii="微软雅黑" w:hAnsi="微软雅黑" w:eastAsia="微软雅黑"/>
        </w:rPr>
        <w:t xml:space="preserve">4 </w:t>
      </w:r>
      <w:r>
        <w:rPr>
          <w:rFonts w:hint="eastAsia"/>
        </w:rPr>
        <w:t>技术措施</w:t>
      </w:r>
      <w:r>
        <w:tab/>
      </w:r>
      <w:r>
        <w:fldChar w:fldCharType="begin"/>
      </w:r>
      <w:r>
        <w:instrText xml:space="preserve"> PAGEREF _Toc28140 \h </w:instrText>
      </w:r>
      <w:r>
        <w:fldChar w:fldCharType="separate"/>
      </w:r>
      <w:r>
        <w:t>4</w:t>
      </w:r>
      <w:r>
        <w:fldChar w:fldCharType="end"/>
      </w:r>
      <w:r>
        <w:rPr>
          <w:caps/>
        </w:rPr>
        <w:fldChar w:fldCharType="end"/>
      </w:r>
    </w:p>
    <w:p w14:paraId="240B75B7">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_Toc24386 </w:instrText>
      </w:r>
      <w:r>
        <w:rPr>
          <w:caps/>
        </w:rPr>
        <w:fldChar w:fldCharType="separate"/>
      </w:r>
      <w:r>
        <w:rPr>
          <w:rFonts w:hint="eastAsia" w:ascii="微软雅黑" w:hAnsi="微软雅黑" w:eastAsia="微软雅黑"/>
        </w:rPr>
        <w:t xml:space="preserve">5 </w:t>
      </w:r>
      <w:r>
        <w:rPr>
          <w:rFonts w:hint="eastAsia"/>
        </w:rPr>
        <w:t>计算方法</w:t>
      </w:r>
      <w:r>
        <w:tab/>
      </w:r>
      <w:r>
        <w:fldChar w:fldCharType="begin"/>
      </w:r>
      <w:r>
        <w:instrText xml:space="preserve"> PAGEREF _Toc24386 \h </w:instrText>
      </w:r>
      <w:r>
        <w:fldChar w:fldCharType="separate"/>
      </w:r>
      <w:r>
        <w:t>6</w:t>
      </w:r>
      <w:r>
        <w:fldChar w:fldCharType="end"/>
      </w:r>
      <w:r>
        <w:rPr>
          <w:caps/>
        </w:rPr>
        <w:fldChar w:fldCharType="end"/>
      </w:r>
    </w:p>
    <w:p w14:paraId="1CBA5E85">
      <w:pPr>
        <w:pStyle w:val="21"/>
        <w:tabs>
          <w:tab w:val="right" w:leader="dot" w:pos="8306"/>
          <w:tab w:val="clear" w:pos="540"/>
          <w:tab w:val="clear" w:pos="840"/>
          <w:tab w:val="clear" w:pos="8222"/>
          <w:tab w:val="clear" w:pos="8296"/>
        </w:tabs>
      </w:pPr>
      <w:r>
        <w:rPr>
          <w:caps/>
        </w:rPr>
        <w:fldChar w:fldCharType="begin"/>
      </w:r>
      <w:r>
        <w:rPr>
          <w:caps/>
        </w:rPr>
        <w:instrText xml:space="preserve"> HYPERLINK \l _Toc9620 </w:instrText>
      </w:r>
      <w:r>
        <w:rPr>
          <w:caps/>
        </w:rPr>
        <w:fldChar w:fldCharType="separate"/>
      </w:r>
      <w:r>
        <w:rPr>
          <w:rFonts w:hint="eastAsia" w:ascii="微软雅黑" w:hAnsi="微软雅黑" w:eastAsia="微软雅黑"/>
          <w:lang w:val="en-GB"/>
        </w:rPr>
        <w:t xml:space="preserve">5.1 </w:t>
      </w:r>
      <w:r>
        <w:t>CFD</w:t>
      </w:r>
      <w:r>
        <w:rPr>
          <w:rFonts w:hint="eastAsia"/>
        </w:rPr>
        <w:t>计算原理</w:t>
      </w:r>
      <w:r>
        <w:tab/>
      </w:r>
      <w:r>
        <w:fldChar w:fldCharType="begin"/>
      </w:r>
      <w:r>
        <w:instrText xml:space="preserve"> PAGEREF _Toc9620 \h </w:instrText>
      </w:r>
      <w:r>
        <w:fldChar w:fldCharType="separate"/>
      </w:r>
      <w:r>
        <w:t>7</w:t>
      </w:r>
      <w:r>
        <w:fldChar w:fldCharType="end"/>
      </w:r>
      <w:r>
        <w:rPr>
          <w:caps/>
        </w:rPr>
        <w:fldChar w:fldCharType="end"/>
      </w:r>
    </w:p>
    <w:p w14:paraId="31052784">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_Toc28755 </w:instrText>
      </w:r>
      <w:r>
        <w:rPr>
          <w:caps/>
        </w:rPr>
        <w:fldChar w:fldCharType="separate"/>
      </w:r>
      <w:r>
        <w:rPr>
          <w:rFonts w:hint="eastAsia" w:ascii="微软雅黑" w:hAnsi="微软雅黑" w:eastAsia="微软雅黑"/>
        </w:rPr>
        <w:t xml:space="preserve">6 </w:t>
      </w:r>
      <w:r>
        <w:rPr>
          <w:rFonts w:hint="eastAsia"/>
        </w:rPr>
        <w:t>结果</w:t>
      </w:r>
      <w:r>
        <w:t>分析</w:t>
      </w:r>
      <w:r>
        <w:tab/>
      </w:r>
      <w:r>
        <w:fldChar w:fldCharType="begin"/>
      </w:r>
      <w:r>
        <w:instrText xml:space="preserve"> PAGEREF _Toc28755 \h </w:instrText>
      </w:r>
      <w:r>
        <w:fldChar w:fldCharType="separate"/>
      </w:r>
      <w:r>
        <w:t>9</w:t>
      </w:r>
      <w:r>
        <w:fldChar w:fldCharType="end"/>
      </w:r>
      <w:r>
        <w:rPr>
          <w:caps/>
        </w:rPr>
        <w:fldChar w:fldCharType="end"/>
      </w:r>
    </w:p>
    <w:p w14:paraId="0ACB7C7F">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_Toc12516 </w:instrText>
      </w:r>
      <w:r>
        <w:rPr>
          <w:caps/>
        </w:rPr>
        <w:fldChar w:fldCharType="separate"/>
      </w:r>
      <w:r>
        <w:rPr>
          <w:rFonts w:hint="eastAsia" w:ascii="微软雅黑" w:hAnsi="微软雅黑" w:eastAsia="微软雅黑"/>
          <w:lang w:val="en-GB"/>
        </w:rPr>
        <w:t xml:space="preserve">6.1 </w:t>
      </w:r>
      <w:r>
        <w:rPr>
          <w:rFonts w:hint="eastAsia"/>
        </w:rPr>
        <w:t>室内速度场分布</w:t>
      </w:r>
      <w:r>
        <w:tab/>
      </w:r>
      <w:r>
        <w:fldChar w:fldCharType="begin"/>
      </w:r>
      <w:r>
        <w:instrText xml:space="preserve"> PAGEREF _Toc12516 \h </w:instrText>
      </w:r>
      <w:r>
        <w:fldChar w:fldCharType="separate"/>
      </w:r>
      <w:r>
        <w:t>9</w:t>
      </w:r>
      <w:r>
        <w:fldChar w:fldCharType="end"/>
      </w:r>
      <w:r>
        <w:rPr>
          <w:caps/>
        </w:rPr>
        <w:fldChar w:fldCharType="end"/>
      </w:r>
    </w:p>
    <w:p w14:paraId="1CC320DB">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_Toc24310 </w:instrText>
      </w:r>
      <w:r>
        <w:rPr>
          <w:caps/>
        </w:rPr>
        <w:fldChar w:fldCharType="separate"/>
      </w:r>
      <w:r>
        <w:rPr>
          <w:rFonts w:hint="eastAsia" w:ascii="微软雅黑" w:hAnsi="微软雅黑" w:eastAsia="微软雅黑"/>
          <w:lang w:val="en-GB"/>
        </w:rPr>
        <w:t xml:space="preserve">6.2 </w:t>
      </w:r>
      <w:r>
        <w:rPr>
          <w:rFonts w:hint="eastAsia"/>
        </w:rPr>
        <w:t>室内风速矢量图</w:t>
      </w:r>
      <w:r>
        <w:tab/>
      </w:r>
      <w:r>
        <w:fldChar w:fldCharType="begin"/>
      </w:r>
      <w:r>
        <w:instrText xml:space="preserve"> PAGEREF _Toc24310 \h </w:instrText>
      </w:r>
      <w:r>
        <w:fldChar w:fldCharType="separate"/>
      </w:r>
      <w:r>
        <w:t>10</w:t>
      </w:r>
      <w:r>
        <w:fldChar w:fldCharType="end"/>
      </w:r>
      <w:r>
        <w:rPr>
          <w:caps/>
        </w:rPr>
        <w:fldChar w:fldCharType="end"/>
      </w:r>
    </w:p>
    <w:p w14:paraId="7BAB37BA">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_Toc20197 </w:instrText>
      </w:r>
      <w:r>
        <w:rPr>
          <w:caps/>
        </w:rPr>
        <w:fldChar w:fldCharType="separate"/>
      </w:r>
      <w:r>
        <w:rPr>
          <w:rFonts w:hint="eastAsia" w:ascii="微软雅黑" w:hAnsi="微软雅黑" w:eastAsia="微软雅黑"/>
          <w:lang w:val="en-GB"/>
        </w:rPr>
        <w:t xml:space="preserve">6.3 </w:t>
      </w:r>
      <w:r>
        <w:rPr>
          <w:rFonts w:hint="eastAsia"/>
        </w:rPr>
        <w:t>流线图</w:t>
      </w:r>
      <w:r>
        <w:tab/>
      </w:r>
      <w:r>
        <w:fldChar w:fldCharType="begin"/>
      </w:r>
      <w:r>
        <w:instrText xml:space="preserve"> PAGEREF _Toc20197 \h </w:instrText>
      </w:r>
      <w:r>
        <w:fldChar w:fldCharType="separate"/>
      </w:r>
      <w:r>
        <w:t>10</w:t>
      </w:r>
      <w:r>
        <w:fldChar w:fldCharType="end"/>
      </w:r>
      <w:r>
        <w:rPr>
          <w:caps/>
        </w:rPr>
        <w:fldChar w:fldCharType="end"/>
      </w:r>
    </w:p>
    <w:p w14:paraId="5C5C8D9A">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_Toc29784 </w:instrText>
      </w:r>
      <w:r>
        <w:rPr>
          <w:caps/>
        </w:rPr>
        <w:fldChar w:fldCharType="separate"/>
      </w:r>
      <w:r>
        <w:rPr>
          <w:rFonts w:hint="eastAsia" w:ascii="微软雅黑" w:hAnsi="微软雅黑" w:eastAsia="微软雅黑"/>
        </w:rPr>
        <w:t xml:space="preserve">7 </w:t>
      </w:r>
      <w:r>
        <w:rPr>
          <w:rFonts w:hint="eastAsia"/>
        </w:rPr>
        <w:t>结论</w:t>
      </w:r>
      <w:r>
        <w:tab/>
      </w:r>
      <w:r>
        <w:fldChar w:fldCharType="begin"/>
      </w:r>
      <w:r>
        <w:instrText xml:space="preserve"> PAGEREF _Toc29784 \h </w:instrText>
      </w:r>
      <w:r>
        <w:fldChar w:fldCharType="separate"/>
      </w:r>
      <w:r>
        <w:t>11</w:t>
      </w:r>
      <w:r>
        <w:fldChar w:fldCharType="end"/>
      </w:r>
      <w:r>
        <w:rPr>
          <w:caps/>
        </w:rPr>
        <w:fldChar w:fldCharType="end"/>
      </w:r>
    </w:p>
    <w:p w14:paraId="1F2E32E4">
      <w:pPr>
        <w:jc w:val="center"/>
        <w:rPr>
          <w:rFonts w:ascii="宋体" w:hAnsi="宋体"/>
          <w:b/>
          <w:bCs/>
          <w:sz w:val="32"/>
          <w:szCs w:val="32"/>
        </w:rPr>
        <w:sectPr>
          <w:footerReference r:id="rId5" w:type="first"/>
          <w:headerReference r:id="rId3" w:type="default"/>
          <w:footerReference r:id="rId4"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523AB83">
      <w:pPr>
        <w:pStyle w:val="2"/>
      </w:pPr>
      <w:bookmarkStart w:id="12" w:name="_Toc58243666"/>
      <w:bookmarkStart w:id="13" w:name="_Toc50050011"/>
      <w:bookmarkStart w:id="14" w:name="_Toc452108759"/>
      <w:bookmarkStart w:id="15" w:name="_Toc13735908"/>
      <w:bookmarkStart w:id="16" w:name="_Toc10373"/>
      <w:bookmarkStart w:id="17" w:name="TitleFormat"/>
      <w:bookmarkStart w:id="18" w:name="_Toc452108762"/>
      <w:r>
        <w:rPr>
          <w:rFonts w:hint="eastAsia"/>
        </w:rPr>
        <w:t>项目概况</w:t>
      </w:r>
      <w:bookmarkEnd w:id="12"/>
      <w:bookmarkEnd w:id="13"/>
      <w:bookmarkEnd w:id="14"/>
      <w:bookmarkEnd w:id="15"/>
      <w:bookmarkEnd w:id="16"/>
    </w:p>
    <w:p w14:paraId="144035AA">
      <w:pPr>
        <w:pStyle w:val="3"/>
        <w:ind w:firstLine="420"/>
        <w:rPr>
          <w:rFonts w:ascii="微软雅黑" w:hAnsi="微软雅黑" w:eastAsia="微软雅黑"/>
          <w:lang w:val="en-US"/>
        </w:rPr>
      </w:pPr>
      <w:bookmarkStart w:id="19" w:name="项目概况"/>
      <w:bookmarkEnd w:id="19"/>
    </w:p>
    <w:p w14:paraId="071B4ADF">
      <w:pPr>
        <w:pStyle w:val="3"/>
        <w:ind w:firstLine="420"/>
        <w:rPr>
          <w:rFonts w:ascii="微软雅黑" w:hAnsi="微软雅黑" w:eastAsia="微软雅黑"/>
          <w:lang w:val="en-US"/>
        </w:rPr>
      </w:pPr>
    </w:p>
    <w:p w14:paraId="5817DFFD">
      <w:pPr>
        <w:pStyle w:val="4"/>
        <w:rPr>
          <w:color w:val="auto"/>
        </w:rPr>
      </w:pPr>
      <w:bookmarkStart w:id="20" w:name="_Toc50050012"/>
      <w:bookmarkStart w:id="21" w:name="_Toc452108760"/>
      <w:bookmarkStart w:id="22" w:name="_Toc13735909"/>
      <w:bookmarkStart w:id="23" w:name="_Toc58243667"/>
      <w:bookmarkStart w:id="24" w:name="_Toc21681"/>
      <w:bookmarkStart w:id="25" w:name="平面图2"/>
      <w:r>
        <w:rPr>
          <w:color w:val="auto"/>
        </w:rPr>
        <w:t>平面图</w:t>
      </w:r>
      <w:bookmarkEnd w:id="20"/>
      <w:bookmarkEnd w:id="21"/>
      <w:bookmarkEnd w:id="22"/>
      <w:bookmarkEnd w:id="23"/>
      <w:bookmarkEnd w:id="24"/>
    </w:p>
    <w:p w14:paraId="26DE582F">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51244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0"/>
                    <a:stretch>
                      <a:fillRect/>
                    </a:stretch>
                  </pic:blipFill>
                  <pic:spPr>
                    <a:xfrm>
                      <a:off x="0" y="0"/>
                      <a:ext cx="5667375" cy="5124450"/>
                    </a:xfrm>
                    <a:prstGeom prst="rect">
                      <a:avLst/>
                    </a:prstGeom>
                  </pic:spPr>
                </pic:pic>
              </a:graphicData>
            </a:graphic>
          </wp:inline>
        </w:drawing>
      </w:r>
    </w:p>
    <w:p w14:paraId="08B48C09">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C947EB1">
      <w:pPr>
        <w:pStyle w:val="3"/>
        <w:ind w:firstLine="0" w:firstLineChars="0"/>
        <w:jc w:val="center"/>
        <w:rPr>
          <w:rFonts w:ascii="微软雅黑" w:hAnsi="微软雅黑" w:eastAsia="微软雅黑"/>
          <w:lang w:val="en-US"/>
        </w:rPr>
      </w:pPr>
    </w:p>
    <w:bookmarkEnd w:id="25"/>
    <w:p w14:paraId="369C69CD">
      <w:pPr>
        <w:pStyle w:val="3"/>
        <w:ind w:firstLine="0" w:firstLineChars="0"/>
        <w:jc w:val="center"/>
        <w:rPr>
          <w:rFonts w:ascii="微软雅黑" w:hAnsi="微软雅黑" w:eastAsia="微软雅黑"/>
          <w:lang w:val="en-US"/>
        </w:rPr>
      </w:pPr>
    </w:p>
    <w:p w14:paraId="4D25DF0C">
      <w:pPr>
        <w:pStyle w:val="4"/>
        <w:rPr>
          <w:color w:val="auto"/>
        </w:rPr>
      </w:pPr>
      <w:bookmarkStart w:id="27" w:name="_Toc452108761"/>
      <w:bookmarkStart w:id="28" w:name="_Toc13735910"/>
      <w:bookmarkStart w:id="29" w:name="_Toc50050013"/>
      <w:bookmarkStart w:id="30" w:name="_Toc58243668"/>
      <w:bookmarkStart w:id="31" w:name="_Toc5091"/>
      <w:r>
        <w:rPr>
          <w:rFonts w:hint="eastAsia"/>
          <w:color w:val="auto"/>
        </w:rPr>
        <w:t>三</w:t>
      </w:r>
      <w:r>
        <w:rPr>
          <w:color w:val="auto"/>
        </w:rPr>
        <w:t>维视图</w:t>
      </w:r>
      <w:bookmarkEnd w:id="27"/>
      <w:bookmarkEnd w:id="28"/>
      <w:bookmarkEnd w:id="29"/>
      <w:bookmarkEnd w:id="30"/>
      <w:bookmarkEnd w:id="31"/>
    </w:p>
    <w:p w14:paraId="20C7A26F">
      <w:pPr>
        <w:pStyle w:val="3"/>
        <w:ind w:firstLine="0" w:firstLineChars="0"/>
        <w:jc w:val="center"/>
        <w:rPr>
          <w:rFonts w:ascii="微软雅黑" w:hAnsi="微软雅黑" w:eastAsia="微软雅黑"/>
          <w:lang w:val="en-US"/>
        </w:rPr>
      </w:pPr>
      <w:bookmarkStart w:id="32" w:name="三维视图"/>
      <w:bookmarkEnd w:id="32"/>
      <w:bookmarkStart w:id="33" w:name="模型观察"/>
      <w:r>
        <w:t>请先在【模型观察】命令中保存图片</w:t>
      </w:r>
      <w:bookmarkEnd w:id="33"/>
    </w:p>
    <w:p w14:paraId="03512D7F">
      <w:pPr>
        <w:pStyle w:val="3"/>
        <w:ind w:firstLine="0" w:firstLineChars="0"/>
        <w:rPr>
          <w:rFonts w:ascii="微软雅黑" w:hAnsi="微软雅黑" w:eastAsia="微软雅黑"/>
          <w:lang w:val="en-US"/>
        </w:rPr>
      </w:pPr>
    </w:p>
    <w:p w14:paraId="6E400BEE">
      <w:pPr>
        <w:pStyle w:val="2"/>
      </w:pPr>
      <w:bookmarkStart w:id="34" w:name="_Toc58243669"/>
      <w:bookmarkStart w:id="35" w:name="_Toc50050014"/>
      <w:bookmarkStart w:id="36" w:name="_Toc16026"/>
      <w:r>
        <w:rPr>
          <w:rFonts w:hint="eastAsia"/>
        </w:rPr>
        <w:t>计算</w:t>
      </w:r>
      <w:r>
        <w:t>依据</w:t>
      </w:r>
      <w:bookmarkEnd w:id="17"/>
      <w:bookmarkEnd w:id="18"/>
      <w:bookmarkEnd w:id="34"/>
      <w:bookmarkEnd w:id="35"/>
      <w:bookmarkEnd w:id="36"/>
    </w:p>
    <w:p w14:paraId="5A6EAFC5">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F4C0DD6">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河南省《绿色建筑评价标准》DBJ41/T 109-2020</w:t>
      </w:r>
      <w:bookmarkEnd w:id="38"/>
    </w:p>
    <w:p w14:paraId="071ED88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76FA1F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D992E8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A63FDDC">
      <w:pPr>
        <w:pStyle w:val="3"/>
        <w:ind w:left="200" w:firstLine="0" w:firstLineChars="0"/>
        <w:rPr>
          <w:rFonts w:ascii="微软雅黑" w:hAnsi="微软雅黑" w:eastAsia="微软雅黑"/>
          <w:lang w:val="en-US"/>
        </w:rPr>
      </w:pPr>
    </w:p>
    <w:p w14:paraId="0B141BF6">
      <w:pPr>
        <w:pStyle w:val="2"/>
      </w:pPr>
      <w:bookmarkStart w:id="39" w:name="_Toc58243670"/>
      <w:bookmarkStart w:id="40" w:name="_Toc50050015"/>
      <w:bookmarkStart w:id="41" w:name="_Toc11070"/>
      <w:r>
        <w:rPr>
          <w:rFonts w:hint="eastAsia"/>
        </w:rPr>
        <w:t>参考</w:t>
      </w:r>
      <w:r>
        <w:t>标准</w:t>
      </w:r>
      <w:bookmarkEnd w:id="37"/>
      <w:bookmarkEnd w:id="39"/>
      <w:bookmarkEnd w:id="40"/>
      <w:bookmarkEnd w:id="41"/>
    </w:p>
    <w:p w14:paraId="283E1BED">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河南省《绿色建筑评价标准》DBJ41/T 109-2020</w:t>
      </w:r>
      <w:bookmarkEnd w:id="45"/>
      <w:r>
        <w:rPr>
          <w:rFonts w:hint="eastAsia" w:ascii="微软雅黑" w:hAnsi="微软雅黑" w:eastAsia="微软雅黑"/>
          <w:lang w:val="en-US"/>
        </w:rPr>
        <w:t>中控制项5.1.2条的要求，具体要求如下：</w:t>
      </w:r>
    </w:p>
    <w:p w14:paraId="5294E564">
      <w:pPr>
        <w:pStyle w:val="15"/>
        <w:tabs>
          <w:tab w:val="left" w:pos="312"/>
        </w:tabs>
        <w:spacing w:line="360" w:lineRule="auto"/>
        <w:ind w:firstLineChars="0"/>
        <w:rPr>
          <w:rFonts w:cs="Times New Roman"/>
          <w:kern w:val="0"/>
          <w:sz w:val="21"/>
          <w:szCs w:val="21"/>
        </w:rPr>
      </w:pPr>
      <w:r>
        <w:rPr>
          <w:rFonts w:hint="eastAsia" w:cs="Times New Roman"/>
          <w:kern w:val="0"/>
          <w:sz w:val="21"/>
          <w:szCs w:val="21"/>
        </w:rPr>
        <w:t>应采取措施避免厨房、餐厅、打印复印室、卫生间、地下车库等区域的空气和污染物串通到其他空间；应防止厨房、卫生间的排气倒灌。</w:t>
      </w:r>
    </w:p>
    <w:p w14:paraId="10EF5126">
      <w:pPr>
        <w:pStyle w:val="2"/>
      </w:pPr>
      <w:bookmarkStart w:id="46" w:name="_Toc58243671"/>
      <w:bookmarkStart w:id="47" w:name="_Toc50050016"/>
      <w:bookmarkStart w:id="48" w:name="_Toc28140"/>
      <w:r>
        <w:rPr>
          <w:rFonts w:hint="eastAsia"/>
        </w:rPr>
        <w:t>技术措施</w:t>
      </w:r>
      <w:bookmarkEnd w:id="46"/>
      <w:bookmarkEnd w:id="47"/>
      <w:bookmarkEnd w:id="48"/>
    </w:p>
    <w:p w14:paraId="1822DE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2"/>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1E7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754933">
            <w:pPr>
              <w:jc w:val="center"/>
            </w:pPr>
            <w:r>
              <w:t>房间类型</w:t>
            </w:r>
          </w:p>
        </w:tc>
        <w:tc>
          <w:tcPr>
            <w:shd w:val="clear" w:color="auto" w:fill="E6E6E6"/>
            <w:vAlign w:val="center"/>
          </w:tcPr>
          <w:p w14:paraId="1173B473">
            <w:pPr>
              <w:jc w:val="center"/>
            </w:pPr>
            <w:r>
              <w:t>措施</w:t>
            </w:r>
          </w:p>
        </w:tc>
      </w:tr>
      <w:tr w14:paraId="361D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E3BD9A">
            <w:r>
              <w:t>厨房</w:t>
            </w:r>
          </w:p>
        </w:tc>
        <w:tc>
          <w:tcPr>
            <w:vAlign w:val="center"/>
          </w:tcPr>
          <w:p w14:paraId="0B131D9D">
            <w:r>
              <w:t>置于自然通风负压侧</w:t>
            </w:r>
          </w:p>
        </w:tc>
      </w:tr>
      <w:tr w14:paraId="5766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11C4B"/>
        </w:tc>
        <w:tc>
          <w:tcPr>
            <w:vAlign w:val="center"/>
          </w:tcPr>
          <w:p w14:paraId="69D7BA43">
            <w:r>
              <w:t>设置可关闭的门</w:t>
            </w:r>
          </w:p>
        </w:tc>
      </w:tr>
      <w:tr w14:paraId="00940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CAC0A"/>
        </w:tc>
        <w:tc>
          <w:tcPr>
            <w:vAlign w:val="center"/>
          </w:tcPr>
          <w:p w14:paraId="1D632F22">
            <w:r>
              <w:t>安装抽油烟机</w:t>
            </w:r>
          </w:p>
        </w:tc>
      </w:tr>
      <w:tr w14:paraId="0A8B6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C16BB"/>
        </w:tc>
        <w:tc>
          <w:tcPr>
            <w:vAlign w:val="center"/>
          </w:tcPr>
          <w:p w14:paraId="23771067">
            <w:r>
              <w:t>设置竖向排风道</w:t>
            </w:r>
          </w:p>
        </w:tc>
      </w:tr>
      <w:tr w14:paraId="638C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BC448"/>
        </w:tc>
        <w:tc>
          <w:tcPr>
            <w:vAlign w:val="center"/>
          </w:tcPr>
          <w:p w14:paraId="008F18E5">
            <w:r>
              <w:t>采用双烟道设计</w:t>
            </w:r>
          </w:p>
        </w:tc>
      </w:tr>
      <w:tr w14:paraId="4DAD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1B698"/>
        </w:tc>
        <w:tc>
          <w:tcPr>
            <w:vAlign w:val="center"/>
          </w:tcPr>
          <w:p w14:paraId="0F2BFEB8">
            <w:r>
              <w:t>排气道设计有利于排气通畅</w:t>
            </w:r>
          </w:p>
        </w:tc>
      </w:tr>
      <w:tr w14:paraId="0310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6AB9C"/>
        </w:tc>
        <w:tc>
          <w:tcPr>
            <w:vAlign w:val="center"/>
          </w:tcPr>
          <w:p w14:paraId="3CB0C903">
            <w:r>
              <w:t>安装止回排气阀、放倒灌风帽</w:t>
            </w:r>
          </w:p>
        </w:tc>
      </w:tr>
      <w:tr w14:paraId="1CCC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957EA"/>
        </w:tc>
        <w:tc>
          <w:tcPr>
            <w:vAlign w:val="center"/>
          </w:tcPr>
          <w:p w14:paraId="2D281ECC">
            <w:r>
              <w:t>风口位置合理，进排风无短路/无污染</w:t>
            </w:r>
          </w:p>
        </w:tc>
      </w:tr>
      <w:tr w14:paraId="0EE2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ED71C"/>
        </w:tc>
        <w:tc>
          <w:tcPr>
            <w:vAlign w:val="center"/>
          </w:tcPr>
          <w:p w14:paraId="23D8E4FA">
            <w:r>
              <w:t>排放位置合理，远离其他空间/室外人员活动区</w:t>
            </w:r>
          </w:p>
        </w:tc>
      </w:tr>
      <w:tr w14:paraId="4A0F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E5BE68">
            <w:r>
              <w:t>卫生间</w:t>
            </w:r>
          </w:p>
        </w:tc>
        <w:tc>
          <w:tcPr>
            <w:vAlign w:val="center"/>
          </w:tcPr>
          <w:p w14:paraId="62063E09">
            <w:r>
              <w:t>置于自然通风负压侧</w:t>
            </w:r>
          </w:p>
        </w:tc>
      </w:tr>
      <w:tr w14:paraId="1D4B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935F7"/>
        </w:tc>
        <w:tc>
          <w:tcPr>
            <w:vAlign w:val="center"/>
          </w:tcPr>
          <w:p w14:paraId="4182A46D">
            <w:r>
              <w:t>设置可关闭的门</w:t>
            </w:r>
          </w:p>
        </w:tc>
      </w:tr>
      <w:tr w14:paraId="082F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A8FAC"/>
        </w:tc>
        <w:tc>
          <w:tcPr>
            <w:vAlign w:val="center"/>
          </w:tcPr>
          <w:p w14:paraId="4CF96780">
            <w:r>
              <w:t>安装排气扇</w:t>
            </w:r>
          </w:p>
        </w:tc>
      </w:tr>
      <w:tr w14:paraId="7881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5F479"/>
        </w:tc>
        <w:tc>
          <w:tcPr>
            <w:vAlign w:val="center"/>
          </w:tcPr>
          <w:p w14:paraId="6359A79F">
            <w:r>
              <w:t>设置竖向排风道</w:t>
            </w:r>
          </w:p>
        </w:tc>
      </w:tr>
      <w:tr w14:paraId="6EAFA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7C402"/>
        </w:tc>
        <w:tc>
          <w:tcPr>
            <w:vAlign w:val="center"/>
          </w:tcPr>
          <w:p w14:paraId="5A9DDBDC">
            <w:r>
              <w:t>排气道设计有利于排气通畅</w:t>
            </w:r>
          </w:p>
        </w:tc>
      </w:tr>
      <w:tr w14:paraId="0C8C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E155A"/>
        </w:tc>
        <w:tc>
          <w:tcPr>
            <w:vAlign w:val="center"/>
          </w:tcPr>
          <w:p w14:paraId="42C9CB63">
            <w:r>
              <w:t>安装止回排气阀、放倒灌风帽</w:t>
            </w:r>
          </w:p>
        </w:tc>
      </w:tr>
      <w:tr w14:paraId="69A2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5AD62"/>
        </w:tc>
        <w:tc>
          <w:tcPr>
            <w:vAlign w:val="center"/>
          </w:tcPr>
          <w:p w14:paraId="1E884828">
            <w:r>
              <w:t>风口位置合理，进排风无短路/无污染</w:t>
            </w:r>
          </w:p>
        </w:tc>
      </w:tr>
      <w:tr w14:paraId="1165E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B8691"/>
        </w:tc>
        <w:tc>
          <w:tcPr>
            <w:vAlign w:val="center"/>
          </w:tcPr>
          <w:p w14:paraId="77109CFA">
            <w:r>
              <w:t>排放位置合理，远离其他空间/室外人员活动区</w:t>
            </w:r>
          </w:p>
        </w:tc>
      </w:tr>
      <w:tr w14:paraId="1665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D8804"/>
        </w:tc>
        <w:tc>
          <w:tcPr>
            <w:vAlign w:val="center"/>
          </w:tcPr>
          <w:p w14:paraId="0A6C5E73">
            <w:r>
              <w:t>设置气窗（公共卫生间、浴室）</w:t>
            </w:r>
          </w:p>
        </w:tc>
      </w:tr>
      <w:tr w14:paraId="59D1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2A7306">
            <w:r>
              <w:t>餐厅</w:t>
            </w:r>
          </w:p>
        </w:tc>
        <w:tc>
          <w:tcPr>
            <w:vAlign w:val="center"/>
          </w:tcPr>
          <w:p w14:paraId="34D11BBF">
            <w:r>
              <w:t>设置可关闭的门</w:t>
            </w:r>
          </w:p>
        </w:tc>
      </w:tr>
      <w:tr w14:paraId="498EB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B9331"/>
        </w:tc>
        <w:tc>
          <w:tcPr>
            <w:vAlign w:val="center"/>
          </w:tcPr>
          <w:p w14:paraId="6E7A784C">
            <w:r>
              <w:t>安装抽油烟机</w:t>
            </w:r>
          </w:p>
        </w:tc>
      </w:tr>
      <w:tr w14:paraId="7D3F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5959B"/>
        </w:tc>
        <w:tc>
          <w:tcPr>
            <w:vAlign w:val="center"/>
          </w:tcPr>
          <w:p w14:paraId="0E880BD2">
            <w:r>
              <w:t>设置负压排风系统</w:t>
            </w:r>
          </w:p>
        </w:tc>
      </w:tr>
      <w:tr w14:paraId="243E7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14799"/>
        </w:tc>
        <w:tc>
          <w:tcPr>
            <w:vAlign w:val="center"/>
          </w:tcPr>
          <w:p w14:paraId="569A4CF4">
            <w:r>
              <w:t>风口位置合理，进排风无短路/无污染</w:t>
            </w:r>
          </w:p>
        </w:tc>
      </w:tr>
      <w:tr w14:paraId="18C5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69929"/>
        </w:tc>
        <w:tc>
          <w:tcPr>
            <w:vAlign w:val="center"/>
          </w:tcPr>
          <w:p w14:paraId="041B36FF">
            <w:r>
              <w:t>排放位置合理，远离其他空间/室外人员活动区</w:t>
            </w:r>
          </w:p>
        </w:tc>
      </w:tr>
      <w:tr w14:paraId="3E1B3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19F02">
            <w:r>
              <w:t>打印复印室</w:t>
            </w:r>
          </w:p>
        </w:tc>
        <w:tc>
          <w:tcPr>
            <w:vAlign w:val="center"/>
          </w:tcPr>
          <w:p w14:paraId="14322F34">
            <w:r>
              <w:t>设置可关闭的门</w:t>
            </w:r>
          </w:p>
        </w:tc>
      </w:tr>
      <w:tr w14:paraId="1CD3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27625"/>
        </w:tc>
        <w:tc>
          <w:tcPr>
            <w:vAlign w:val="center"/>
          </w:tcPr>
          <w:p w14:paraId="14BEDDDB">
            <w:r>
              <w:t>设置负压机械排风</w:t>
            </w:r>
          </w:p>
        </w:tc>
      </w:tr>
      <w:tr w14:paraId="3B71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8C378"/>
        </w:tc>
        <w:tc>
          <w:tcPr>
            <w:vAlign w:val="center"/>
          </w:tcPr>
          <w:p w14:paraId="13D17325">
            <w:r>
              <w:t>安装止回排气阀、放倒灌风帽</w:t>
            </w:r>
          </w:p>
        </w:tc>
      </w:tr>
      <w:tr w14:paraId="0A18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067A1"/>
        </w:tc>
        <w:tc>
          <w:tcPr>
            <w:vAlign w:val="center"/>
          </w:tcPr>
          <w:p w14:paraId="70B1EF5E">
            <w:r>
              <w:t>风口位置合理，无短路/无污染</w:t>
            </w:r>
          </w:p>
        </w:tc>
      </w:tr>
      <w:tr w14:paraId="691A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34BCE"/>
        </w:tc>
        <w:tc>
          <w:tcPr>
            <w:vAlign w:val="center"/>
          </w:tcPr>
          <w:p w14:paraId="1361AFD1">
            <w:r>
              <w:t>排放位置合理，远离其他空间/室外人员活动区</w:t>
            </w:r>
          </w:p>
        </w:tc>
      </w:tr>
      <w:tr w14:paraId="315DF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D8E848">
            <w:r>
              <w:t>地下车库</w:t>
            </w:r>
          </w:p>
        </w:tc>
        <w:tc>
          <w:tcPr>
            <w:vAlign w:val="center"/>
          </w:tcPr>
          <w:p w14:paraId="7A78DD85">
            <w:r>
              <w:t>设置可关闭的门</w:t>
            </w:r>
          </w:p>
        </w:tc>
      </w:tr>
      <w:tr w14:paraId="41A9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5CE92"/>
        </w:tc>
        <w:tc>
          <w:tcPr>
            <w:vAlign w:val="center"/>
          </w:tcPr>
          <w:p w14:paraId="792ACCC8">
            <w:r>
              <w:t>设置负压机械排风</w:t>
            </w:r>
          </w:p>
        </w:tc>
      </w:tr>
      <w:tr w14:paraId="09B0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B576D"/>
        </w:tc>
        <w:tc>
          <w:tcPr>
            <w:vAlign w:val="center"/>
          </w:tcPr>
          <w:p w14:paraId="6DBC07AF">
            <w:r>
              <w:t>安装止回排气阀、放倒灌风帽</w:t>
            </w:r>
          </w:p>
        </w:tc>
      </w:tr>
      <w:tr w14:paraId="114B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BECD"/>
        </w:tc>
        <w:tc>
          <w:tcPr>
            <w:vAlign w:val="center"/>
          </w:tcPr>
          <w:p w14:paraId="36942447">
            <w:r>
              <w:t>风口位置合理，无短路/无污染</w:t>
            </w:r>
          </w:p>
        </w:tc>
      </w:tr>
      <w:tr w14:paraId="60B1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8A234"/>
        </w:tc>
        <w:tc>
          <w:tcPr>
            <w:vAlign w:val="center"/>
          </w:tcPr>
          <w:p w14:paraId="589E2463">
            <w:r>
              <w:t>排风系统独立</w:t>
            </w:r>
          </w:p>
        </w:tc>
      </w:tr>
      <w:tr w14:paraId="0C46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31A1F"/>
        </w:tc>
        <w:tc>
          <w:tcPr>
            <w:vAlign w:val="center"/>
          </w:tcPr>
          <w:p w14:paraId="49002B52">
            <w:r>
              <w:t>排放位置合理，远离其他空间/室外人员活动区</w:t>
            </w:r>
          </w:p>
        </w:tc>
      </w:tr>
      <w:tr w14:paraId="73155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009BAD">
            <w:r>
              <w:t>垃圾房</w:t>
            </w:r>
          </w:p>
        </w:tc>
        <w:tc>
          <w:tcPr>
            <w:vAlign w:val="center"/>
          </w:tcPr>
          <w:p w14:paraId="620BAD22">
            <w:r>
              <w:t>设置可关闭的门</w:t>
            </w:r>
          </w:p>
        </w:tc>
      </w:tr>
      <w:tr w14:paraId="32B15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12E9D"/>
        </w:tc>
        <w:tc>
          <w:tcPr>
            <w:vAlign w:val="center"/>
          </w:tcPr>
          <w:p w14:paraId="139A425A">
            <w:r>
              <w:t>设置负压机械排风</w:t>
            </w:r>
          </w:p>
        </w:tc>
      </w:tr>
      <w:tr w14:paraId="2DFA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0F99A"/>
        </w:tc>
        <w:tc>
          <w:tcPr>
            <w:vAlign w:val="center"/>
          </w:tcPr>
          <w:p w14:paraId="4B89211D">
            <w:r>
              <w:t>安装止回排气阀、放倒灌风帽</w:t>
            </w:r>
          </w:p>
        </w:tc>
      </w:tr>
      <w:tr w14:paraId="260AF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68400"/>
        </w:tc>
        <w:tc>
          <w:tcPr>
            <w:vAlign w:val="center"/>
          </w:tcPr>
          <w:p w14:paraId="343F13B1">
            <w:r>
              <w:t>风口位置合理，无短路/无污染</w:t>
            </w:r>
          </w:p>
        </w:tc>
      </w:tr>
      <w:tr w14:paraId="0EE2D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8D296"/>
        </w:tc>
        <w:tc>
          <w:tcPr>
            <w:vAlign w:val="center"/>
          </w:tcPr>
          <w:p w14:paraId="332A614B">
            <w:r>
              <w:t>排风系统独立</w:t>
            </w:r>
          </w:p>
        </w:tc>
      </w:tr>
      <w:tr w14:paraId="326D8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FCB52"/>
        </w:tc>
        <w:tc>
          <w:tcPr>
            <w:vAlign w:val="center"/>
          </w:tcPr>
          <w:p w14:paraId="6BBA65E0">
            <w:r>
              <w:t>排放位置合理，远离其他空间/室外人员活动区</w:t>
            </w:r>
          </w:p>
        </w:tc>
      </w:tr>
    </w:tbl>
    <w:p w14:paraId="5C786DEA">
      <w:pPr>
        <w:pStyle w:val="3"/>
        <w:ind w:firstLine="420"/>
        <w:rPr>
          <w:rFonts w:ascii="微软雅黑" w:hAnsi="微软雅黑" w:eastAsia="微软雅黑"/>
          <w:lang w:val="en-US"/>
        </w:rPr>
      </w:pPr>
      <w:bookmarkStart w:id="49" w:name="技术措施"/>
      <w:bookmarkEnd w:id="49"/>
    </w:p>
    <w:p w14:paraId="48593A3A">
      <w:pPr>
        <w:pStyle w:val="2"/>
      </w:pPr>
      <w:bookmarkStart w:id="50" w:name="_Toc50050017"/>
      <w:bookmarkStart w:id="51" w:name="_Toc58243672"/>
      <w:bookmarkStart w:id="52" w:name="_Toc24386"/>
      <w:r>
        <w:rPr>
          <w:rFonts w:hint="eastAsia"/>
        </w:rPr>
        <w:t>计算</w:t>
      </w:r>
      <w:bookmarkEnd w:id="42"/>
      <w:bookmarkEnd w:id="43"/>
      <w:r>
        <w:rPr>
          <w:rFonts w:hint="eastAsia"/>
        </w:rPr>
        <w:t>方法</w:t>
      </w:r>
      <w:bookmarkEnd w:id="50"/>
      <w:bookmarkEnd w:id="51"/>
      <w:bookmarkEnd w:id="52"/>
    </w:p>
    <w:p w14:paraId="0296503D">
      <w:pPr>
        <w:pStyle w:val="3"/>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本项目首先采用CFD计算得出室内流速分布和气流方向，从整体上展示室内风速和气流组织，为室内优化设计提供依据。</w:t>
      </w:r>
    </w:p>
    <w:p w14:paraId="0E2BD687">
      <w:pPr>
        <w:pStyle w:val="4"/>
        <w:rPr>
          <w:color w:val="auto"/>
        </w:rPr>
      </w:pPr>
      <w:bookmarkStart w:id="53" w:name="_Toc58243673"/>
      <w:bookmarkStart w:id="54" w:name="_Toc50050018"/>
      <w:bookmarkStart w:id="55" w:name="_Toc9620"/>
      <w:r>
        <w:rPr>
          <w:color w:val="auto"/>
        </w:rPr>
        <w:t>CFD</w:t>
      </w:r>
      <w:r>
        <w:rPr>
          <w:rFonts w:hint="eastAsia"/>
          <w:color w:val="auto"/>
        </w:rPr>
        <w:t>计算原理</w:t>
      </w:r>
      <w:bookmarkEnd w:id="53"/>
      <w:bookmarkEnd w:id="54"/>
      <w:bookmarkEnd w:id="55"/>
    </w:p>
    <w:p w14:paraId="66DB4561">
      <w:pPr>
        <w:pStyle w:val="5"/>
      </w:pPr>
      <w:bookmarkStart w:id="56" w:name="_Toc50050019"/>
      <w:bookmarkStart w:id="57" w:name="_Toc58243674"/>
      <w:bookmarkStart w:id="58" w:name="_Toc451698937"/>
      <w:bookmarkStart w:id="59" w:name="_Toc452108765"/>
      <w:r>
        <w:rPr>
          <w:rFonts w:hint="eastAsia"/>
        </w:rPr>
        <w:t>湍流模型</w:t>
      </w:r>
      <w:bookmarkEnd w:id="56"/>
      <w:bookmarkEnd w:id="57"/>
    </w:p>
    <w:p w14:paraId="488D7083">
      <w:pPr>
        <w:pStyle w:val="3"/>
        <w:ind w:firstLine="0" w:firstLineChars="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7A5499A">
      <w:pPr>
        <w:pStyle w:val="3"/>
        <w:spacing w:line="3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2"/>
        <w:tblW w:w="8379" w:type="dxa"/>
        <w:tblInd w:w="93" w:type="dxa"/>
        <w:tblLayout w:type="fixed"/>
        <w:tblCellMar>
          <w:top w:w="0" w:type="dxa"/>
          <w:left w:w="108" w:type="dxa"/>
          <w:bottom w:w="0" w:type="dxa"/>
          <w:right w:w="108" w:type="dxa"/>
        </w:tblCellMar>
      </w:tblPr>
      <w:tblGrid>
        <w:gridCol w:w="2000"/>
        <w:gridCol w:w="6379"/>
      </w:tblGrid>
      <w:tr w14:paraId="5E5C0EB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6486938">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232077C">
            <w:pPr>
              <w:jc w:val="center"/>
              <w:rPr>
                <w:rFonts w:cs="宋体"/>
                <w:b/>
                <w:bCs/>
                <w:sz w:val="18"/>
                <w:szCs w:val="18"/>
              </w:rPr>
            </w:pPr>
            <w:r>
              <w:rPr>
                <w:rFonts w:hint="eastAsia" w:cs="宋体"/>
                <w:b/>
                <w:bCs/>
                <w:sz w:val="18"/>
                <w:szCs w:val="18"/>
              </w:rPr>
              <w:t>特点和适用工况</w:t>
            </w:r>
          </w:p>
        </w:tc>
      </w:tr>
      <w:tr w14:paraId="707A58F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34F3954">
            <w:pPr>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14:paraId="1649BE05">
            <w:pPr>
              <w:rPr>
                <w:rFonts w:cs="宋体"/>
                <w:sz w:val="18"/>
                <w:szCs w:val="18"/>
              </w:rPr>
            </w:pPr>
            <w:r>
              <w:rPr>
                <w:rFonts w:hint="eastAsia" w:cs="宋体"/>
                <w:sz w:val="18"/>
                <w:szCs w:val="18"/>
              </w:rPr>
              <w:t>简单的工业流场和热交换模拟，无较大压力梯度、分离、强曲率流，适用于初始的参数研究</w:t>
            </w:r>
          </w:p>
        </w:tc>
      </w:tr>
      <w:tr w14:paraId="6D39BC8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E56BA3F">
            <w:pPr>
              <w:jc w:val="center"/>
              <w:rPr>
                <w:rFonts w:cs="宋体"/>
                <w:sz w:val="18"/>
                <w:szCs w:val="18"/>
              </w:rPr>
            </w:pPr>
            <w:r>
              <w:rPr>
                <w:rFonts w:hint="eastAsia" w:cs="宋体"/>
                <w:sz w:val="18"/>
                <w:szCs w:val="18"/>
              </w:rPr>
              <w:t>RNG k-ε模型</w:t>
            </w:r>
          </w:p>
        </w:tc>
        <w:tc>
          <w:tcPr>
            <w:tcW w:w="6379" w:type="dxa"/>
            <w:tcBorders>
              <w:top w:val="nil"/>
              <w:left w:val="nil"/>
              <w:bottom w:val="single" w:color="auto" w:sz="4" w:space="0"/>
              <w:right w:val="single" w:color="auto" w:sz="4" w:space="0"/>
            </w:tcBorders>
            <w:vAlign w:val="center"/>
          </w:tcPr>
          <w:p w14:paraId="45377949">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3E365C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9AF2CCA">
            <w:pPr>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14:paraId="0553F691">
            <w:pPr>
              <w:rPr>
                <w:rFonts w:cs="宋体"/>
                <w:sz w:val="18"/>
                <w:szCs w:val="18"/>
              </w:rPr>
            </w:pPr>
            <w:r>
              <w:rPr>
                <w:rFonts w:hint="eastAsia" w:cs="宋体"/>
                <w:sz w:val="18"/>
                <w:szCs w:val="18"/>
              </w:rPr>
              <w:t>旋转流动、强逆压梯度的边界层流动、流动分离和二次流，类似于RNG</w:t>
            </w:r>
          </w:p>
        </w:tc>
      </w:tr>
    </w:tbl>
    <w:p w14:paraId="3AD4D098">
      <w:pPr>
        <w:pStyle w:val="5"/>
        <w:tabs>
          <w:tab w:val="left" w:pos="360"/>
        </w:tabs>
        <w:ind w:left="0" w:firstLine="0"/>
      </w:pPr>
      <w:bookmarkStart w:id="60" w:name="_Toc50050020"/>
      <w:bookmarkStart w:id="61" w:name="_Toc58243675"/>
      <w:bookmarkStart w:id="62" w:name="_Toc8151"/>
      <w:bookmarkStart w:id="63" w:name="_Toc451698938"/>
      <w:bookmarkStart w:id="64" w:name="_Toc452108766"/>
      <w:r>
        <w:rPr>
          <w:rFonts w:hint="eastAsia"/>
        </w:rPr>
        <w:t>边界条件</w:t>
      </w:r>
      <w:bookmarkEnd w:id="60"/>
      <w:bookmarkEnd w:id="61"/>
      <w:bookmarkEnd w:id="62"/>
      <w:bookmarkEnd w:id="63"/>
      <w:bookmarkEnd w:id="64"/>
    </w:p>
    <w:p w14:paraId="61ABFEB6">
      <w:pPr>
        <w:spacing w:line="400" w:lineRule="atLeast"/>
        <w:ind w:firstLine="435"/>
      </w:pPr>
      <w:r>
        <w:rPr>
          <w:rFonts w:hint="eastAsia"/>
          <w:b/>
        </w:rPr>
        <w:t>进风窗口</w:t>
      </w:r>
      <w:r>
        <w:rPr>
          <w:rFonts w:hint="eastAsia"/>
        </w:rPr>
        <w:t>：采用压强边界条件；</w:t>
      </w:r>
    </w:p>
    <w:p w14:paraId="2361117B">
      <w:pPr>
        <w:spacing w:line="400" w:lineRule="atLeast"/>
        <w:ind w:firstLine="435"/>
      </w:pPr>
      <w:r>
        <w:rPr>
          <w:rFonts w:hint="eastAsia"/>
          <w:b/>
        </w:rPr>
        <w:t>排风窗口</w:t>
      </w:r>
      <w:r>
        <w:rPr>
          <w:rFonts w:hint="eastAsia"/>
        </w:rPr>
        <w:t>：采用压强边界条件。</w:t>
      </w:r>
    </w:p>
    <w:p w14:paraId="35967410">
      <w:pPr>
        <w:pStyle w:val="5"/>
        <w:tabs>
          <w:tab w:val="left" w:pos="360"/>
        </w:tabs>
        <w:ind w:left="0" w:firstLine="0"/>
      </w:pPr>
      <w:bookmarkStart w:id="65" w:name="_Toc452108767"/>
      <w:bookmarkStart w:id="66" w:name="_Toc23583"/>
      <w:bookmarkStart w:id="67" w:name="_Toc50050021"/>
      <w:bookmarkStart w:id="68" w:name="_Toc451698939"/>
      <w:bookmarkStart w:id="69" w:name="_Toc58243676"/>
      <w:r>
        <w:rPr>
          <w:rFonts w:hint="eastAsia"/>
        </w:rPr>
        <w:t>求解计算</w:t>
      </w:r>
      <w:bookmarkEnd w:id="65"/>
      <w:bookmarkEnd w:id="66"/>
      <w:bookmarkEnd w:id="67"/>
      <w:bookmarkEnd w:id="68"/>
      <w:bookmarkEnd w:id="69"/>
    </w:p>
    <w:p w14:paraId="3D30D60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39EB5BA">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002D425">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ED9902E">
      <w:pPr>
        <w:pStyle w:val="3"/>
        <w:ind w:firstLine="420" w:firstLineChars="0"/>
        <w:rPr>
          <w:rFonts w:ascii="微软雅黑" w:hAnsi="微软雅黑" w:eastAsia="微软雅黑"/>
          <w:lang w:val="en-US"/>
        </w:rPr>
      </w:pPr>
      <w:r>
        <w:rPr>
          <w:rFonts w:hint="eastAsia" w:ascii="微软雅黑" w:hAnsi="微软雅黑" w:eastAsia="微软雅黑"/>
          <w:lang w:val="en-US"/>
        </w:rPr>
        <w:t>该式中的</w:t>
      </w:r>
      <m:oMath>
        <m:r>
          <m:rPr>
            <m:sty m:val="p"/>
          </m:rPr>
          <w:rPr>
            <w:rFonts w:ascii="Cambria Math" w:hAnsi="Cambria Math" w:eastAsia="微软雅黑"/>
            <w:lang w:val="en-US"/>
          </w:rPr>
          <m:t>ϕ</m:t>
        </m:r>
      </m:oMath>
      <w:r>
        <w:rPr>
          <w:rFonts w:hint="eastAsia" w:ascii="微软雅黑" w:hAnsi="微软雅黑" w:eastAsia="微软雅黑"/>
          <w:lang w:val="en-US"/>
        </w:rPr>
        <w:t>可以是速度、湍流动能、湍流耗散率以及温度等物理量，参照下表</w:t>
      </w:r>
    </w:p>
    <w:p w14:paraId="4C59F062">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2"/>
        <w:tblW w:w="850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D1AD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1CCEC80">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BD6892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B91E62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FCD3C1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48FB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F9691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390A44F">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73EB09B">
            <w:pPr>
              <w:widowControl w:val="0"/>
              <w:rPr>
                <w:rFonts w:cs="Calibri"/>
                <w:kern w:val="2"/>
                <w:sz w:val="18"/>
                <w:szCs w:val="18"/>
              </w:rPr>
            </w:pPr>
            <w:r>
              <w:rPr>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D329EC5">
            <w:pPr>
              <w:widowControl w:val="0"/>
              <w:jc w:val="both"/>
              <w:rPr>
                <w:rFonts w:cs="Calibri"/>
                <w:kern w:val="2"/>
                <w:sz w:val="18"/>
                <w:szCs w:val="18"/>
              </w:rPr>
            </w:pPr>
            <w:r>
              <w:rPr>
                <w:sz w:val="18"/>
                <w:szCs w:val="18"/>
              </w:rPr>
              <w:t>0</w:t>
            </w:r>
          </w:p>
        </w:tc>
      </w:tr>
      <w:tr w14:paraId="39950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D6E584">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F107A4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6FA01F9">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3A5DA69">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7912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1AC42F">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2DDCAF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893F3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813650B">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F2C1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5BA0C4">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E459FA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5953B8">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21924BD">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31AE62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E0B8E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944301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620F9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8C5FC52">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5123C0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4D393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BEA888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AB7E5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4DA470F">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3DF3E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17BC0D2">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954D84B">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2067019">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F7751D4">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6396E460">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16F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AAB42A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9011B6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FB6616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817233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226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730F08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EACBDF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F668E7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4495C3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2FA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BDC00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3D002C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8EA839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A81F774">
            <w:pPr>
              <w:pStyle w:val="3"/>
              <w:spacing w:line="240" w:lineRule="atLeast"/>
              <w:ind w:firstLine="0" w:firstLineChars="0"/>
              <w:jc w:val="left"/>
              <w:rPr>
                <w:rFonts w:ascii="微软雅黑" w:hAnsi="微软雅黑" w:eastAsia="微软雅黑"/>
                <w:sz w:val="18"/>
                <w:szCs w:val="18"/>
                <w:lang w:val="en-US"/>
              </w:rPr>
            </w:pPr>
          </w:p>
        </w:tc>
      </w:tr>
      <w:tr w14:paraId="5676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09A32A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D74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19CC39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CA1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503131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r w14:paraId="58FD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0B942C1">
            <w:pPr>
              <w:pStyle w:val="3"/>
              <w:spacing w:line="240" w:lineRule="atLeast"/>
              <w:ind w:firstLine="0" w:firstLineChars="0"/>
              <w:jc w:val="left"/>
              <w:rPr>
                <w:rFonts w:ascii="微软雅黑" w:hAnsi="微软雅黑" w:eastAsia="微软雅黑" w:cs="微软雅黑"/>
                <w:sz w:val="18"/>
                <w:szCs w:val="18"/>
                <w:lang w:val="en-US"/>
              </w:rPr>
            </w:pPr>
          </w:p>
        </w:tc>
      </w:tr>
    </w:tbl>
    <w:p w14:paraId="00FB951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CD50198">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4837D0D7">
      <w:pPr>
        <w:pStyle w:val="2"/>
      </w:pPr>
      <w:bookmarkStart w:id="72" w:name="_Toc3745"/>
      <w:bookmarkStart w:id="73" w:name="_Toc58243677"/>
      <w:bookmarkStart w:id="74" w:name="_Toc50050022"/>
      <w:bookmarkStart w:id="75" w:name="_Toc452108768"/>
      <w:bookmarkStart w:id="76" w:name="_Toc28755"/>
      <w:r>
        <w:rPr>
          <w:rFonts w:hint="eastAsia"/>
        </w:rPr>
        <w:t>结果</w:t>
      </w:r>
      <w:r>
        <w:t>分析</w:t>
      </w:r>
      <w:bookmarkEnd w:id="72"/>
      <w:bookmarkEnd w:id="73"/>
      <w:bookmarkEnd w:id="74"/>
      <w:bookmarkEnd w:id="75"/>
      <w:bookmarkEnd w:id="76"/>
    </w:p>
    <w:p w14:paraId="5362D740">
      <w:pPr>
        <w:pStyle w:val="4"/>
        <w:rPr>
          <w:color w:val="auto"/>
        </w:rPr>
      </w:pPr>
      <w:bookmarkStart w:id="77" w:name="_Toc50050023"/>
      <w:bookmarkStart w:id="78" w:name="_Toc58243678"/>
      <w:bookmarkStart w:id="79" w:name="_Toc12516"/>
      <w:r>
        <w:rPr>
          <w:rFonts w:hint="eastAsia"/>
          <w:color w:val="auto"/>
        </w:rPr>
        <w:t>室内速度场分布</w:t>
      </w:r>
      <w:bookmarkEnd w:id="77"/>
      <w:bookmarkEnd w:id="78"/>
      <w:bookmarkEnd w:id="79"/>
    </w:p>
    <w:p w14:paraId="2227CD58">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1"/>
                    <a:stretch>
                      <a:fillRect/>
                    </a:stretch>
                  </pic:blipFill>
                  <pic:spPr>
                    <a:xfrm>
                      <a:off x="0" y="0"/>
                      <a:ext cx="5667375" cy="3752850"/>
                    </a:xfrm>
                    <a:prstGeom prst="rect">
                      <a:avLst/>
                    </a:prstGeom>
                  </pic:spPr>
                </pic:pic>
              </a:graphicData>
            </a:graphic>
          </wp:inline>
        </w:drawing>
      </w:r>
      <w:bookmarkStart w:id="90" w:name="_GoBack"/>
      <w:bookmarkEnd w:id="90"/>
    </w:p>
    <w:bookmarkEnd w:id="80"/>
    <w:p w14:paraId="047F7F57">
      <w:pPr>
        <w:pStyle w:val="31"/>
        <w:ind w:firstLine="360"/>
        <w:jc w:val="center"/>
        <w:rPr>
          <w:color w:val="auto"/>
          <w:sz w:val="18"/>
          <w:szCs w:val="18"/>
        </w:rPr>
      </w:pPr>
      <w:bookmarkStart w:id="81" w:name="_Toc50050024"/>
      <w:bookmarkStart w:id="82" w:name="_Toc58243679"/>
      <w:r>
        <w:rPr>
          <w:color w:val="auto"/>
          <w:sz w:val="18"/>
          <w:szCs w:val="18"/>
        </w:rPr>
        <w:t>图6-1 室内速度分布</w:t>
      </w:r>
    </w:p>
    <w:p w14:paraId="366A6D47">
      <w:pPr>
        <w:pStyle w:val="4"/>
        <w:rPr>
          <w:color w:val="auto"/>
        </w:rPr>
      </w:pPr>
      <w:bookmarkStart w:id="83" w:name="_Toc24310"/>
      <w:r>
        <w:rPr>
          <w:rFonts w:hint="eastAsia"/>
          <w:color w:val="auto"/>
        </w:rPr>
        <w:t>室内风速矢量图</w:t>
      </w:r>
      <w:bookmarkEnd w:id="81"/>
      <w:bookmarkEnd w:id="82"/>
      <w:bookmarkEnd w:id="83"/>
    </w:p>
    <w:p w14:paraId="50FDFEB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2"/>
                    <a:stretch>
                      <a:fillRect/>
                    </a:stretch>
                  </pic:blipFill>
                  <pic:spPr>
                    <a:xfrm>
                      <a:off x="0" y="0"/>
                      <a:ext cx="5667375" cy="3752850"/>
                    </a:xfrm>
                    <a:prstGeom prst="rect">
                      <a:avLst/>
                    </a:prstGeom>
                  </pic:spPr>
                </pic:pic>
              </a:graphicData>
            </a:graphic>
          </wp:inline>
        </w:drawing>
      </w:r>
    </w:p>
    <w:bookmarkEnd w:id="84"/>
    <w:p w14:paraId="61994DB7">
      <w:pPr>
        <w:pStyle w:val="31"/>
        <w:ind w:firstLine="360"/>
        <w:jc w:val="center"/>
        <w:rPr>
          <w:color w:val="auto"/>
          <w:sz w:val="18"/>
          <w:szCs w:val="18"/>
        </w:rPr>
      </w:pPr>
      <w:bookmarkStart w:id="85" w:name="_Toc58243680"/>
      <w:bookmarkStart w:id="86" w:name="_Toc50050025"/>
      <w:r>
        <w:rPr>
          <w:color w:val="auto"/>
          <w:sz w:val="18"/>
          <w:szCs w:val="18"/>
        </w:rPr>
        <w:t>图6-2 室内风速矢量图</w:t>
      </w:r>
    </w:p>
    <w:p w14:paraId="0A7367C3">
      <w:pPr>
        <w:pStyle w:val="4"/>
        <w:rPr>
          <w:color w:val="auto"/>
        </w:rPr>
      </w:pPr>
      <w:bookmarkStart w:id="87" w:name="_Toc20197"/>
      <w:r>
        <w:rPr>
          <w:rFonts w:hint="eastAsia"/>
          <w:color w:val="auto"/>
        </w:rPr>
        <w:t>流线图</w:t>
      </w:r>
      <w:bookmarkEnd w:id="87"/>
    </w:p>
    <w:p w14:paraId="73D04A22">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9525"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3"/>
                    <a:stretch>
                      <a:fillRect/>
                    </a:stretch>
                  </pic:blipFill>
                  <pic:spPr>
                    <a:xfrm>
                      <a:off x="0" y="0"/>
                      <a:ext cx="5667375" cy="3752850"/>
                    </a:xfrm>
                    <a:prstGeom prst="rect">
                      <a:avLst/>
                    </a:prstGeom>
                  </pic:spPr>
                </pic:pic>
              </a:graphicData>
            </a:graphic>
          </wp:inline>
        </w:drawing>
      </w:r>
    </w:p>
    <w:p w14:paraId="223EA08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FC8B836">
      <w:pPr>
        <w:pStyle w:val="2"/>
      </w:pPr>
      <w:bookmarkStart w:id="89" w:name="_Toc29784"/>
      <w:r>
        <w:rPr>
          <w:rFonts w:hint="eastAsia"/>
        </w:rPr>
        <w:t>结论</w:t>
      </w:r>
      <w:bookmarkEnd w:id="85"/>
      <w:bookmarkEnd w:id="86"/>
      <w:bookmarkEnd w:id="89"/>
    </w:p>
    <w:p w14:paraId="2698E84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4AE53DD">
      <w:pPr>
        <w:pStyle w:val="3"/>
        <w:tabs>
          <w:tab w:val="left" w:pos="7938"/>
        </w:tabs>
        <w:ind w:firstLine="480"/>
        <w:rPr>
          <w:rFonts w:ascii="微软雅黑" w:hAnsi="微软雅黑" w:eastAsia="微软雅黑"/>
          <w:sz w:val="24"/>
          <w:szCs w:val="24"/>
          <w:lang w:val="en-US"/>
        </w:rPr>
      </w:pPr>
    </w:p>
    <w:sectPr>
      <w:headerReference r:id="rId6" w:type="default"/>
      <w:pgSz w:w="11906" w:h="16838"/>
      <w:pgMar w:top="1440" w:right="1800" w:bottom="1440" w:left="1800" w:header="85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F70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F0CD50B">
          <w:pPr>
            <w:pStyle w:val="18"/>
            <w:spacing w:line="360" w:lineRule="exact"/>
            <w:rPr>
              <w:sz w:val="20"/>
              <w:szCs w:val="21"/>
            </w:rPr>
          </w:pPr>
        </w:p>
      </w:tc>
      <w:tc>
        <w:tcPr>
          <w:tcW w:w="2841" w:type="dxa"/>
        </w:tcPr>
        <w:p w14:paraId="64A78408">
          <w:pPr>
            <w:pStyle w:val="18"/>
            <w:spacing w:line="360" w:lineRule="exact"/>
            <w:jc w:val="center"/>
            <w:rPr>
              <w:sz w:val="20"/>
              <w:szCs w:val="21"/>
            </w:rPr>
          </w:pPr>
          <w:sdt>
            <w:sdtPr>
              <w:rPr>
                <w:sz w:val="20"/>
              </w:rPr>
              <w:id w:val="-1045986677"/>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729D0A13">
          <w:pPr>
            <w:pStyle w:val="18"/>
            <w:spacing w:line="360" w:lineRule="exact"/>
            <w:jc w:val="right"/>
            <w:rPr>
              <w:sz w:val="20"/>
              <w:szCs w:val="21"/>
            </w:rPr>
          </w:pPr>
        </w:p>
      </w:tc>
    </w:tr>
  </w:tbl>
  <w:p w14:paraId="755933C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0243">
    <w:pPr>
      <w:pStyle w:val="18"/>
      <w:jc w:val="center"/>
      <w:rPr>
        <w:rFonts w:asciiTheme="minorEastAsia" w:hAnsiTheme="minorEastAsia" w:eastAsiaTheme="minorEastAsia"/>
        <w:szCs w:val="21"/>
      </w:rPr>
    </w:pPr>
  </w:p>
  <w:p w14:paraId="65CCB98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0D4D">
    <w:pPr>
      <w:pStyle w:val="19"/>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D559">
    <w:pPr>
      <w:pStyle w:val="19"/>
      <w:pBdr>
        <w:bottom w:val="single" w:color="auto" w:sz="6" w:space="0"/>
      </w:pBdr>
      <w:jc w:val="left"/>
    </w:pPr>
    <w:r>
      <w:rPr>
        <w:lang w:val="en-US"/>
      </w:rPr>
      <w:drawing>
        <wp:inline distT="0" distB="0" distL="0" distR="0">
          <wp:extent cx="866140"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8197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B2D07"/>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2B96"/>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E774F"/>
    <w:rsid w:val="00201812"/>
    <w:rsid w:val="00203163"/>
    <w:rsid w:val="00203A7D"/>
    <w:rsid w:val="00215EBC"/>
    <w:rsid w:val="00217F09"/>
    <w:rsid w:val="0022597C"/>
    <w:rsid w:val="002431AE"/>
    <w:rsid w:val="002555B8"/>
    <w:rsid w:val="002611A7"/>
    <w:rsid w:val="002647C5"/>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D7DF3"/>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4A12"/>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4F08E8"/>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3B59"/>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A468F"/>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088"/>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168C5"/>
    <w:rsid w:val="00A23D26"/>
    <w:rsid w:val="00A25C14"/>
    <w:rsid w:val="00A273C5"/>
    <w:rsid w:val="00A306C2"/>
    <w:rsid w:val="00A31766"/>
    <w:rsid w:val="00A32590"/>
    <w:rsid w:val="00A327ED"/>
    <w:rsid w:val="00A352C9"/>
    <w:rsid w:val="00A355BD"/>
    <w:rsid w:val="00A41C1F"/>
    <w:rsid w:val="00A4318E"/>
    <w:rsid w:val="00A566CB"/>
    <w:rsid w:val="00A67355"/>
    <w:rsid w:val="00A7025C"/>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7C8"/>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1757"/>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6A2A"/>
    <w:rsid w:val="00DC73AD"/>
    <w:rsid w:val="00DD16C4"/>
    <w:rsid w:val="00DD2870"/>
    <w:rsid w:val="00DE50D2"/>
    <w:rsid w:val="00DF470C"/>
    <w:rsid w:val="00DF486E"/>
    <w:rsid w:val="00DF4996"/>
    <w:rsid w:val="00DF4B1A"/>
    <w:rsid w:val="00DF67BB"/>
    <w:rsid w:val="00E05025"/>
    <w:rsid w:val="00E07E2B"/>
    <w:rsid w:val="00E10A3D"/>
    <w:rsid w:val="00E11160"/>
    <w:rsid w:val="00E13DCB"/>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590F"/>
    <w:rsid w:val="00EE1BA7"/>
    <w:rsid w:val="00EE68A9"/>
    <w:rsid w:val="00EE7411"/>
    <w:rsid w:val="00EF3DA5"/>
    <w:rsid w:val="00EF60A9"/>
    <w:rsid w:val="00EF7114"/>
    <w:rsid w:val="00EF7501"/>
    <w:rsid w:val="00F0656F"/>
    <w:rsid w:val="00F30C12"/>
    <w:rsid w:val="00F34D0D"/>
    <w:rsid w:val="00F418EC"/>
    <w:rsid w:val="00F5023B"/>
    <w:rsid w:val="00F60A3F"/>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0F00"/>
    <w:rsid w:val="00FC7756"/>
    <w:rsid w:val="00FE33B7"/>
    <w:rsid w:val="00FE4CC4"/>
    <w:rsid w:val="00FE79B9"/>
    <w:rsid w:val="00FF2243"/>
    <w:rsid w:val="2BD524DD"/>
    <w:rsid w:val="6DD8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spacing w:line="440" w:lineRule="exact"/>
      <w:ind w:left="210" w:firstLine="100" w:firstLineChars="100"/>
    </w:pPr>
    <w:rPr>
      <w:kern w:val="2"/>
      <w:szCs w:val="24"/>
      <w:lang w:val="en-US"/>
    </w:rPr>
  </w:style>
  <w:style w:type="paragraph" w:styleId="17">
    <w:name w:val="Balloon Text"/>
    <w:basedOn w:val="1"/>
    <w:link w:val="35"/>
    <w:qFormat/>
    <w:uiPriority w:val="0"/>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8222"/>
        <w:tab w:val="right" w:leader="dot" w:pos="8296"/>
      </w:tabs>
      <w:spacing w:line="440" w:lineRule="exact"/>
    </w:pPr>
    <w:rPr>
      <w:b/>
      <w:bCs/>
      <w:kern w:val="2"/>
      <w:szCs w:val="24"/>
      <w:lang w:val="en-US"/>
    </w:rPr>
  </w:style>
  <w:style w:type="paragraph" w:styleId="21">
    <w:name w:val="toc 2"/>
    <w:basedOn w:val="1"/>
    <w:next w:val="1"/>
    <w:autoRedefine/>
    <w:qFormat/>
    <w:uiPriority w:val="39"/>
    <w:pPr>
      <w:tabs>
        <w:tab w:val="left" w:pos="540"/>
        <w:tab w:val="left" w:pos="840"/>
        <w:tab w:val="right" w:leader="dot" w:pos="8222"/>
        <w:tab w:val="right" w:leader="dot" w:pos="8296"/>
      </w:tabs>
      <w:spacing w:line="440" w:lineRule="exact"/>
      <w:ind w:left="198"/>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ind w:firstLine="200" w:firstLineChars="200"/>
    </w:pPr>
    <w:rPr>
      <w:rFonts w:ascii="微软雅黑" w:hAnsi="微软雅黑" w:eastAsia="微软雅黑" w:cs="微软雅黑"/>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9E42-FFED-434A-B6D7-ABDBEBFE3EED}">
  <ds:schemaRefs/>
</ds:datastoreItem>
</file>

<file path=docProps/app.xml><?xml version="1.0" encoding="utf-8"?>
<Properties xmlns="http://schemas.openxmlformats.org/officeDocument/2006/extended-properties" xmlns:vt="http://schemas.openxmlformats.org/officeDocument/2006/docPropsVTypes">
  <Template>tmp4.dotx</Template>
  <Pages>11</Pages>
  <Words>2016</Words>
  <Characters>2269</Characters>
  <Lines>26</Lines>
  <Paragraphs>7</Paragraphs>
  <TotalTime>10</TotalTime>
  <ScaleCrop>false</ScaleCrop>
  <LinksUpToDate>false</LinksUpToDate>
  <CharactersWithSpaces>3094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2025-10-22T06:15:00Z</dcterms:created>
  <dc:creator>月燚</dc:creator>
  <cp:lastModifiedBy>月燚</cp:lastModifiedBy>
  <dcterms:modified xsi:type="dcterms:W3CDTF">2025-10-22T06:26:41Z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077333F889F1469EB139D6262C279A0D_11</vt:lpwstr>
  </property>
  <property fmtid="{D5CDD505-2E9C-101B-9397-08002B2CF9AE}" pid="4" name="KSOTemplateDocerSaveRecord">
    <vt:lpwstr>eyJoZGlkIjoiODY3MWU5MGZmZDkyMjVlMTNjOWI0MWUwYWJiNGIxNTgiLCJ1c2VySWQiOiI5MzYwOTEzMjQifQ==</vt:lpwstr>
  </property>
</Properties>
</file>