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240" w:lineRule="auto"/>
              <w:jc w:val="distribute"/>
              <w:rPr>
                <w:b/>
                <w:spacing w:val="45"/>
                <w:sz w:val="30"/>
                <w:szCs w:val="30"/>
              </w:rPr>
            </w:pPr>
            <w:bookmarkStart w:id="107" w:name="_GoBack"/>
            <w:bookmarkEnd w:id="107"/>
          </w:p>
          <w:p>
            <w:pPr>
              <w:spacing w:before="312" w:beforeLines="100" w:line="240" w:lineRule="auto"/>
              <w:jc w:val="distribute"/>
              <w:rPr>
                <w:b/>
                <w:sz w:val="72"/>
                <w:szCs w:val="52"/>
                <w:lang w:val="en-US"/>
              </w:rPr>
            </w:pPr>
            <w:r>
              <w:rPr>
                <w:rFonts w:hint="eastAsia"/>
                <w:b/>
                <w:sz w:val="72"/>
                <w:szCs w:val="52"/>
                <w:lang w:val="en-US"/>
              </w:rPr>
              <w:t>可再生能源利用分析报告</w:t>
            </w:r>
          </w:p>
          <w:p>
            <w:pPr>
              <w:spacing w:before="312" w:beforeLines="100" w:line="240" w:lineRule="auto"/>
              <w:jc w:val="center"/>
              <w:rPr>
                <w:b/>
                <w:sz w:val="72"/>
                <w:szCs w:val="52"/>
                <w:lang w:val="en-US"/>
              </w:rPr>
            </w:pPr>
            <w:r>
              <w:rPr>
                <w:rFonts w:hint="eastAsia"/>
                <w:b/>
                <w:sz w:val="72"/>
                <w:szCs w:val="52"/>
                <w:lang w:val="en-US"/>
              </w:rPr>
              <w:t>光伏发电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b/>
                <w:sz w:val="36"/>
                <w:szCs w:val="36"/>
              </w:rPr>
            </w:pPr>
            <w:bookmarkStart w:id="0" w:name="项目名称"/>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pPr>
              <w:spacing w:line="240" w:lineRule="auto"/>
              <w:jc w:val="center"/>
              <w:rPr>
                <w:b/>
                <w:sz w:val="32"/>
                <w:szCs w:val="52"/>
              </w:rPr>
            </w:pPr>
            <w:r>
              <w:rPr>
                <w:rFonts w:hint="eastAsia"/>
                <w:b/>
                <w:sz w:val="32"/>
                <w:szCs w:val="52"/>
              </w:rPr>
              <w:t>设计编号：</w:t>
            </w:r>
            <w:bookmarkStart w:id="1" w:name="设计编号"/>
            <w:bookmarkEnd w:id="1"/>
          </w:p>
          <w:p>
            <w:pPr>
              <w:spacing w:line="240" w:lineRule="auto"/>
              <w:jc w:val="center"/>
            </w:pPr>
          </w:p>
          <w:p>
            <w:pPr>
              <w:spacing w:line="240" w:lineRule="auto"/>
              <w:jc w:val="center"/>
            </w:pPr>
            <w:bookmarkStart w:id="2" w:name="二维码"/>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pPr>
          </w:p>
        </w:tc>
      </w:tr>
    </w:tbl>
    <w:p>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工程地点</w:t>
            </w:r>
          </w:p>
        </w:tc>
        <w:tc>
          <w:tcPr>
            <w:tcW w:w="456" w:type="dxa"/>
          </w:tcPr>
          <w:p>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240" w:lineRule="auto"/>
              <w:jc w:val="center"/>
              <w:rPr>
                <w:sz w:val="24"/>
                <w:szCs w:val="24"/>
              </w:rPr>
            </w:pPr>
            <w:bookmarkStart w:id="3" w:name="工程地点1"/>
            <w:r>
              <w:rPr>
                <w:rFonts w:hint="eastAsia"/>
                <w:sz w:val="24"/>
                <w:szCs w:val="24"/>
              </w:rPr>
              <w:t>长春</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建设单位</w:t>
            </w:r>
          </w:p>
        </w:tc>
        <w:tc>
          <w:tcPr>
            <w:tcW w:w="456" w:type="dxa"/>
          </w:tcPr>
          <w:p>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240" w:lineRule="auto"/>
              <w:jc w:val="center"/>
              <w:rPr>
                <w:sz w:val="24"/>
                <w:szCs w:val="24"/>
              </w:rPr>
            </w:pPr>
            <w:bookmarkStart w:id="4" w:name="建设单位"/>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设计单位</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bookmarkStart w:id="5" w:name="设计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设计人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校对人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审定人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报告日期</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bookmarkStart w:id="6" w:name="报告日期"/>
            <w:r>
              <w:rPr>
                <w:rFonts w:hint="eastAsia"/>
                <w:sz w:val="24"/>
                <w:szCs w:val="24"/>
              </w:rPr>
              <w:t>2026年01月03日</w:t>
            </w:r>
            <w:bookmarkEnd w:id="6"/>
          </w:p>
        </w:tc>
      </w:tr>
    </w:tbl>
    <w:p>
      <w:pPr>
        <w:rPr>
          <w:rFonts w:cstheme="minorBidi"/>
          <w:kern w:val="2"/>
          <w:szCs w:val="22"/>
        </w:rPr>
      </w:pPr>
    </w:p>
    <w:p/>
    <w:p/>
    <w:p/>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w:t>
            </w:r>
            <w:bookmarkStart w:id="9" w:name="正版授权码"/>
            <w:bookmarkStart w:id="10" w:name="加密锁号"/>
            <w:r>
              <w:rPr>
                <w:rFonts w:hint="eastAsia"/>
                <w:sz w:val="18"/>
              </w:rPr>
              <w:t>T18206557895</w:t>
            </w:r>
            <w:bookmarkEnd w:id="9"/>
            <w:bookmarkEnd w:id="10"/>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bl>
    <w:p>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_Toc2006 </w:instrText>
      </w:r>
      <w:r>
        <w:rPr>
          <w:szCs w:val="28"/>
        </w:rPr>
        <w:fldChar w:fldCharType="separate"/>
      </w:r>
      <w:r>
        <w:rPr>
          <w:rFonts w:hint="eastAsia"/>
        </w:rPr>
        <w:t>1. 项目概况</w:t>
      </w:r>
      <w:r>
        <w:tab/>
      </w:r>
      <w:r>
        <w:fldChar w:fldCharType="begin"/>
      </w:r>
      <w:r>
        <w:instrText xml:space="preserve"> PAGEREF _Toc2006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_Toc18534 </w:instrText>
      </w:r>
      <w:r>
        <w:rPr>
          <w:szCs w:val="28"/>
        </w:rPr>
        <w:fldChar w:fldCharType="separate"/>
      </w:r>
      <w:r>
        <w:rPr>
          <w:rFonts w:hint="eastAsia"/>
        </w:rPr>
        <w:t>2. 标准依据</w:t>
      </w:r>
      <w:r>
        <w:tab/>
      </w:r>
      <w:r>
        <w:fldChar w:fldCharType="begin"/>
      </w:r>
      <w:r>
        <w:instrText xml:space="preserve"> PAGEREF _Toc18534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_Toc3108 </w:instrText>
      </w:r>
      <w:r>
        <w:rPr>
          <w:szCs w:val="28"/>
        </w:rPr>
        <w:fldChar w:fldCharType="separate"/>
      </w:r>
      <w:r>
        <w:rPr>
          <w:rFonts w:hint="eastAsia"/>
        </w:rPr>
        <w:t>3. 太阳能资源分析</w:t>
      </w:r>
      <w:r>
        <w:tab/>
      </w:r>
      <w:r>
        <w:fldChar w:fldCharType="begin"/>
      </w:r>
      <w:r>
        <w:instrText xml:space="preserve"> PAGEREF _Toc3108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_Toc716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_Toc716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_Toc8857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_Toc8857 </w:instrText>
      </w:r>
      <w:r>
        <w:fldChar w:fldCharType="separate"/>
      </w:r>
      <w:r>
        <w:t>4</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_Toc7058 </w:instrText>
      </w:r>
      <w:r>
        <w:rPr>
          <w:szCs w:val="28"/>
        </w:rPr>
        <w:fldChar w:fldCharType="separate"/>
      </w:r>
      <w:r>
        <w:rPr>
          <w:rFonts w:hint="eastAsia"/>
        </w:rPr>
        <w:t>4. 软件选用</w:t>
      </w:r>
      <w:r>
        <w:tab/>
      </w:r>
      <w:r>
        <w:fldChar w:fldCharType="begin"/>
      </w:r>
      <w:r>
        <w:instrText xml:space="preserve"> PAGEREF _Toc7058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_Toc15479 </w:instrText>
      </w:r>
      <w:r>
        <w:rPr>
          <w:szCs w:val="28"/>
        </w:rPr>
        <w:fldChar w:fldCharType="separate"/>
      </w:r>
      <w:r>
        <w:rPr>
          <w:rFonts w:hint="eastAsia"/>
        </w:rPr>
        <w:t>5. 光伏系统设计</w:t>
      </w:r>
      <w:r>
        <w:tab/>
      </w:r>
      <w:r>
        <w:fldChar w:fldCharType="begin"/>
      </w:r>
      <w:r>
        <w:instrText xml:space="preserve"> PAGEREF _Toc15479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_Toc14221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_Toc14221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_Toc26988 </w:instrText>
      </w:r>
      <w:r>
        <w:rPr>
          <w:szCs w:val="28"/>
        </w:rPr>
        <w:fldChar w:fldCharType="separate"/>
      </w:r>
      <w:r>
        <w:rPr>
          <w:rFonts w:hint="eastAsia"/>
          <w:lang w:val="en-GB"/>
        </w:rPr>
        <w:t xml:space="preserve">5.2 </w:t>
      </w:r>
      <w:r>
        <w:t>辐照分析</w:t>
      </w:r>
      <w:r>
        <w:tab/>
      </w:r>
      <w:r>
        <w:fldChar w:fldCharType="begin"/>
      </w:r>
      <w:r>
        <w:instrText xml:space="preserve"> PAGEREF _Toc26988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_Toc29975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_Toc29975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_Toc3633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_Toc3633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_Toc28356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_Toc28356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_Toc26839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_Toc26839 </w:instrText>
      </w:r>
      <w:r>
        <w:fldChar w:fldCharType="separate"/>
      </w:r>
      <w:r>
        <w:t>8</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_Toc2281 </w:instrText>
      </w:r>
      <w:r>
        <w:rPr>
          <w:szCs w:val="28"/>
        </w:rPr>
        <w:fldChar w:fldCharType="separate"/>
      </w:r>
      <w:r>
        <w:rPr>
          <w:rFonts w:hint="eastAsia"/>
        </w:rPr>
        <w:t>6. 光伏发电产量</w:t>
      </w:r>
      <w:r>
        <w:tab/>
      </w:r>
      <w:r>
        <w:fldChar w:fldCharType="begin"/>
      </w:r>
      <w:r>
        <w:instrText xml:space="preserve"> PAGEREF _Toc2281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_Toc6341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_Toc6341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_Toc2090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_Toc2090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_Toc20350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_Toc20350 </w:instrText>
      </w:r>
      <w:r>
        <w:fldChar w:fldCharType="separate"/>
      </w:r>
      <w:r>
        <w:t>10</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_Toc8618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_Toc8618 </w:instrText>
      </w:r>
      <w:r>
        <w:fldChar w:fldCharType="separate"/>
      </w:r>
      <w:r>
        <w:t>10</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_Toc14491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_Toc14491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_Toc31128 </w:instrText>
      </w:r>
      <w:r>
        <w:rPr>
          <w:szCs w:val="28"/>
        </w:rPr>
        <w:fldChar w:fldCharType="separate"/>
      </w:r>
      <w:r>
        <w:rPr>
          <w:rFonts w:hint="eastAsia"/>
        </w:rPr>
        <w:t>7. 经济效益分析</w:t>
      </w:r>
      <w:r>
        <w:tab/>
      </w:r>
      <w:r>
        <w:fldChar w:fldCharType="begin"/>
      </w:r>
      <w:r>
        <w:instrText xml:space="preserve"> PAGEREF _Toc31128 </w:instrText>
      </w:r>
      <w:r>
        <w:fldChar w:fldCharType="separate"/>
      </w:r>
      <w:r>
        <w:t>13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_Toc23205 </w:instrText>
      </w:r>
      <w:r>
        <w:rPr>
          <w:szCs w:val="28"/>
        </w:rPr>
        <w:fldChar w:fldCharType="separate"/>
      </w:r>
      <w:r>
        <w:rPr>
          <w:rFonts w:hint="eastAsia"/>
        </w:rPr>
        <w:t>8. 减排效益分析</w:t>
      </w:r>
      <w:r>
        <w:tab/>
      </w:r>
      <w:r>
        <w:fldChar w:fldCharType="begin"/>
      </w:r>
      <w:r>
        <w:instrText xml:space="preserve"> PAGEREF _Toc23205 </w:instrText>
      </w:r>
      <w:r>
        <w:fldChar w:fldCharType="separate"/>
      </w:r>
      <w:r>
        <w:t>15</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_Toc27425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_Toc27425 </w:instrText>
      </w:r>
      <w:r>
        <w:fldChar w:fldCharType="separate"/>
      </w:r>
      <w:r>
        <w:t>16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_Toc32691 </w:instrText>
      </w:r>
      <w:r>
        <w:rPr>
          <w:szCs w:val="28"/>
        </w:rPr>
        <w:fldChar w:fldCharType="separate"/>
      </w:r>
      <w:r>
        <w:rPr>
          <w:rFonts w:hint="eastAsia"/>
        </w:rPr>
        <w:t>附录</w:t>
      </w:r>
      <w:r>
        <w:tab/>
      </w:r>
      <w:r>
        <w:fldChar w:fldCharType="begin"/>
      </w:r>
      <w:r>
        <w:instrText xml:space="preserve"> PAGEREF _Toc32691 </w:instrText>
      </w:r>
      <w:r>
        <w:fldChar w:fldCharType="separate"/>
      </w:r>
      <w:r>
        <w:t>17</w:t>
      </w:r>
      <w:r>
        <w:fldChar w:fldCharType="end"/>
      </w:r>
      <w:r>
        <w:rPr>
          <w:szCs w:val="28"/>
        </w:rPr>
        <w:fldChar w:fldCharType="end"/>
      </w:r>
    </w:p>
    <w:p>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pPr>
      <w:r>
        <w:tab/>
      </w:r>
      <w:bookmarkStart w:id="12" w:name="_Toc127542292"/>
      <w:bookmarkStart w:id="13" w:name="_Toc2006"/>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rPr>
          <w:trHeight w:val="399" w:hRule="atLeast"/>
        </w:trPr>
        <w:tc>
          <w:tcPr>
            <w:tcW w:w="1418" w:type="dxa"/>
            <w:tcBorders>
              <w:bottom w:val="single" w:color="C8C8C8" w:themeColor="accent3" w:themeTint="99" w:sz="4" w:space="0"/>
              <w:insideH w:val="single" w:sz="4" w:space="0"/>
            </w:tcBorders>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pPr>
              <w:pStyle w:val="3"/>
              <w:rPr>
                <w:b/>
                <w:bCs/>
                <w:sz w:val="21"/>
                <w:szCs w:val="18"/>
                <w:lang w:val="en-US"/>
              </w:rPr>
            </w:pPr>
            <w:bookmarkStart w:id="14" w:name="项目名称1"/>
            <w:bookmarkEnd w:id="14"/>
          </w:p>
        </w:tc>
      </w:tr>
      <w:tr>
        <w:trPr>
          <w:trHeight w:val="417" w:hRule="atLeast"/>
        </w:trPr>
        <w:tc>
          <w:tcPr>
            <w:tcW w:w="1418" w:type="dxa"/>
            <w:shd w:val="clear" w:color="auto" w:fill="F57C00"/>
          </w:tcPr>
          <w:p>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长春</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125°19′</w:t>
            </w:r>
            <w:bookmarkEnd w:id="16"/>
            <w:r>
              <w:rPr>
                <w:sz w:val="21"/>
                <w:szCs w:val="18"/>
                <w:lang w:val="en-US"/>
              </w:rPr>
              <w:t xml:space="preserve">              北纬：</w:t>
            </w:r>
            <w:bookmarkStart w:id="17" w:name="纬度"/>
            <w:r>
              <w:t>43°54′</w:t>
            </w:r>
            <w:bookmarkEnd w:id="17"/>
          </w:p>
        </w:tc>
      </w:tr>
    </w:tbl>
    <w:p>
      <w:pPr>
        <w:pStyle w:val="2"/>
      </w:pPr>
      <w:bookmarkStart w:id="18" w:name="_Toc512608177"/>
      <w:bookmarkStart w:id="19" w:name="_Toc18534"/>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r>
        <w:rPr>
          <w:rFonts w:hint="eastAsia"/>
          <w:lang w:val="en-US"/>
        </w:rPr>
        <w:t>（2024年版）</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3108"/>
      <w:r>
        <w:rPr>
          <w:rFonts w:hint="eastAsia"/>
        </w:rPr>
        <w:t>太阳能资源分析</w:t>
      </w:r>
      <w:bookmarkEnd w:id="21"/>
    </w:p>
    <w:p>
      <w:pPr>
        <w:pStyle w:val="4"/>
        <w:rPr>
          <w:lang w:val="zh-CN"/>
        </w:rPr>
      </w:pPr>
      <w:bookmarkStart w:id="22" w:name="_Toc716"/>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长春</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1222.3</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12055.8</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p>
      <w:pPr>
        <w:pStyle w:val="4"/>
        <w:rPr>
          <w:szCs w:val="21"/>
        </w:rPr>
      </w:pPr>
      <w:bookmarkStart w:id="34" w:name="_Toc99707948"/>
      <w:bookmarkStart w:id="35" w:name="_Toc8857"/>
      <w:r>
        <w:t>太阳能综合评价</w:t>
      </w:r>
      <w:bookmarkEnd w:id="34"/>
      <w:bookmarkEnd w:id="35"/>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1222.3</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40" w:name="直射比DHRR"/>
      <w:r>
        <w:t>0.59,直接辐射较多,直射比等级属于B级等级高地区</w:t>
      </w:r>
      <w:bookmarkEnd w:id="40"/>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0.24，等级B稳定地区</w:t>
      </w:r>
      <w:bookmarkEnd w:id="41"/>
      <w:r>
        <w:rPr>
          <w:rFonts w:hint="eastAsia"/>
        </w:rPr>
        <w:t>。</w:t>
      </w:r>
    </w:p>
    <w:p>
      <w:pPr>
        <w:pStyle w:val="2"/>
      </w:pPr>
      <w:bookmarkStart w:id="42" w:name="_Toc127542295"/>
      <w:bookmarkStart w:id="43" w:name="_Toc7058"/>
      <w:r>
        <w:rPr>
          <w:rFonts w:hint="eastAsia"/>
        </w:rPr>
        <w:t>软件选用</w:t>
      </w:r>
      <w:bookmarkEnd w:id="42"/>
      <w:bookmarkEnd w:id="43"/>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4" w:name="_Toc15479"/>
      <w:r>
        <w:rPr>
          <w:rFonts w:hint="eastAsia"/>
        </w:rPr>
        <w:t>光伏系统设计</w:t>
      </w:r>
      <w:bookmarkEnd w:id="44"/>
    </w:p>
    <w:p>
      <w:pPr>
        <w:pStyle w:val="3"/>
        <w:ind w:firstLine="480" w:firstLineChars="200"/>
      </w:pPr>
      <w:bookmarkStart w:id="45" w:name="_Toc275165382"/>
      <w:bookmarkStart w:id="46" w:name="_Toc290209336"/>
      <w:bookmarkStart w:id="47" w:name="_Toc290209312"/>
      <w:bookmarkStart w:id="48" w:name="_Toc290149054"/>
      <w:bookmarkStart w:id="49" w:name="_Toc264043625"/>
      <w:bookmarkStart w:id="50" w:name="_Toc512608180"/>
      <w:bookmarkStart w:id="51" w:name="_Toc264569232"/>
      <w:bookmarkStart w:id="52"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pPr>
        <w:pStyle w:val="4"/>
      </w:pPr>
      <w:bookmarkStart w:id="53" w:name="_Toc14221"/>
      <w:r>
        <w:rPr>
          <w:rFonts w:hint="eastAsia"/>
        </w:rPr>
        <w:t>阴影遮挡分析</w:t>
      </w:r>
      <w:bookmarkEnd w:id="53"/>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4" w:name="遮挡分析图"/>
      <w:bookmarkEnd w:id="54"/>
      <w:r>
        <w:drawing>
          <wp:inline distT="0" distB="0" distL="0" distR="0">
            <wp:extent cx="5667375" cy="36290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62902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pPr>
        <w:pStyle w:val="3"/>
        <w:ind w:firstLine="480" w:firstLineChars="200"/>
        <w:rPr>
          <w:strike/>
          <w:lang w:val="en-US"/>
        </w:rPr>
      </w:pPr>
    </w:p>
    <w:p>
      <w:pPr>
        <w:pStyle w:val="4"/>
      </w:pPr>
      <w:bookmarkStart w:id="55" w:name="_Toc26988"/>
      <w:r>
        <w:t>辐照分析</w:t>
      </w:r>
      <w:bookmarkEnd w:id="55"/>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6" w:name="辐照分析彩图"/>
      <w:bookmarkEnd w:id="56"/>
      <w:r>
        <w:drawing>
          <wp:inline distT="0" distB="0" distL="0" distR="0">
            <wp:extent cx="5667375" cy="3371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3371850"/>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pPr>
        <w:pStyle w:val="4"/>
      </w:pPr>
      <w:bookmarkStart w:id="57" w:name="_Toc29975"/>
      <w:r>
        <w:rPr>
          <w:rFonts w:hint="eastAsia"/>
        </w:rPr>
        <w:t>光伏方阵设计</w:t>
      </w:r>
      <w:bookmarkEnd w:id="57"/>
    </w:p>
    <w:p>
      <w:pPr>
        <w:pStyle w:val="3"/>
        <w:ind w:firstLine="480"/>
        <w:rPr>
          <w:lang w:val="en-US"/>
        </w:rPr>
      </w:pPr>
      <w:r>
        <w:rPr>
          <w:rFonts w:hint="eastAsia"/>
          <w:lang w:val="en-US"/>
        </w:rPr>
        <w:t>通过对</w:t>
      </w:r>
      <w:bookmarkStart w:id="58" w:name="工程地点2"/>
      <w:r>
        <w:rPr>
          <w:rFonts w:hint="eastAsia"/>
        </w:rPr>
        <w:t>长春</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9" w:name="_Toc3633"/>
      <w:r>
        <w:rPr>
          <w:rFonts w:hint="eastAsia"/>
        </w:rPr>
        <w:t>安装倾角</w:t>
      </w:r>
      <w:bookmarkEnd w:id="59"/>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44.9</w:t>
      </w:r>
      <w:bookmarkEnd w:id="60"/>
      <w:r>
        <w:rPr>
          <w:rFonts w:hint="eastAsia"/>
          <w:b/>
        </w:rPr>
        <w:t>°；并网系统推荐倾角为</w:t>
      </w:r>
      <w:bookmarkStart w:id="61" w:name="并网推荐倾角"/>
      <w:r>
        <w:rPr>
          <w:rFonts w:hint="eastAsia"/>
          <w:b/>
        </w:rPr>
        <w:t>40.9</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2" w:name="_Toc28356"/>
      <w:r>
        <w:rPr>
          <w:rFonts w:hint="eastAsia"/>
        </w:rPr>
        <w:t>方阵设计</w:t>
      </w:r>
      <w:bookmarkEnd w:id="62"/>
    </w:p>
    <w:p>
      <w:pPr>
        <w:pStyle w:val="3"/>
        <w:ind w:firstLine="480"/>
        <w:rPr>
          <w:lang w:val="en-US"/>
        </w:rPr>
      </w:pPr>
      <w:r>
        <w:rPr>
          <w:rFonts w:hint="eastAsia"/>
          <w:lang w:val="en-US"/>
        </w:rPr>
        <w:t>本项目光伏方阵的安装方案如下：</w:t>
      </w:r>
    </w:p>
    <w:p>
      <w:pPr>
        <w:pStyle w:val="3"/>
        <w:jc w:val="center"/>
      </w:pPr>
      <w:bookmarkStart w:id="63" w:name="模型观察图"/>
      <w:bookmarkEnd w:id="63"/>
      <w:r>
        <w:drawing>
          <wp:inline distT="0" distB="0" distL="0" distR="0">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31908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pPr>
        <w:pStyle w:val="4"/>
      </w:pPr>
      <w:bookmarkStart w:id="64" w:name="_Toc26839"/>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143</w:t>
            </w:r>
          </w:p>
        </w:tc>
        <w:tc>
          <w:tcPr>
            <w:tcW w:w="0" w:type="auto"/>
            <w:shd w:val="clear" w:color="auto" w:fill="ECECEC" w:themeFill="accent3" w:themeFillTint="33"/>
          </w:tcPr>
          <w:p>
            <w:pPr>
              <w:jc w:val="center"/>
              <w:rPr>
                <w:szCs w:val="21"/>
              </w:rPr>
            </w:pPr>
            <w:r>
              <w:rPr>
                <w:szCs w:val="21"/>
              </w:rPr>
              <w:t>400</w:t>
            </w:r>
          </w:p>
        </w:tc>
        <w:tc>
          <w:tcPr>
            <w:tcW w:w="0" w:type="auto"/>
            <w:shd w:val="clear" w:color="auto" w:fill="ECECEC" w:themeFill="accent3" w:themeFillTint="33"/>
          </w:tcPr>
          <w:p>
            <w:pPr>
              <w:jc w:val="center"/>
              <w:rPr>
                <w:szCs w:val="21"/>
              </w:rPr>
            </w:pPr>
            <w:r>
              <w:rPr>
                <w:szCs w:val="21"/>
              </w:rPr>
              <w:t>3</w:t>
            </w:r>
          </w:p>
        </w:tc>
        <w:tc>
          <w:tcPr>
            <w:tcW w:w="0" w:type="auto"/>
            <w:shd w:val="clear" w:color="auto" w:fill="ECECEC" w:themeFill="accent3" w:themeFillTint="33"/>
          </w:tcPr>
          <w:p>
            <w:pPr>
              <w:jc w:val="center"/>
              <w:rPr>
                <w:szCs w:val="21"/>
              </w:rPr>
            </w:pPr>
            <w:r>
              <w:rPr>
                <w:szCs w:val="21"/>
              </w:rPr>
              <w:t>0.35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2%</w:t>
            </w:r>
          </w:p>
        </w:tc>
        <w:tc>
          <w:tcPr>
            <w:tcW w:w="1158" w:type="dxa"/>
            <w:shd w:val="clear" w:color="auto" w:fill="ECECEC" w:themeFill="accent3" w:themeFillTint="33"/>
          </w:tcPr>
          <w:p>
            <w:pPr>
              <w:jc w:val="center"/>
              <w:rPr>
                <w:szCs w:val="21"/>
              </w:rPr>
            </w:pPr>
            <w:r>
              <w:rPr>
                <w:szCs w:val="21"/>
              </w:rPr>
              <w:t>0.5%</w:t>
            </w:r>
          </w:p>
        </w:tc>
      </w:tr>
      <w:bookmarkEnd w:id="65"/>
    </w:tbl>
    <w:p>
      <w:pPr>
        <w:jc w:val="center"/>
      </w:pPr>
    </w:p>
    <w:p>
      <w:pPr>
        <w:pStyle w:val="2"/>
      </w:pPr>
      <w:bookmarkStart w:id="66" w:name="_Toc2281"/>
      <w:r>
        <w:rPr>
          <w:rFonts w:hint="eastAsia"/>
        </w:rPr>
        <w:t>光伏发电产量</w:t>
      </w:r>
      <w:bookmarkEnd w:id="66"/>
    </w:p>
    <w:p>
      <w:pPr>
        <w:pStyle w:val="4"/>
      </w:pPr>
      <w:bookmarkStart w:id="67" w:name="_Toc6341"/>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2090"/>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143</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57.2kW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234㎡</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rPr>
                <w:rFonts w:hint="eastAsia"/>
              </w:rPr>
              <w:t>其他损失</w:t>
            </w:r>
          </w:p>
        </w:tc>
        <w:tc>
          <w:tcPr>
            <w:tcW w:w="2321" w:type="dxa"/>
            <w:shd w:val="clear" w:color="auto" w:fill="ECECEC" w:themeFill="accent3" w:themeFillTint="33"/>
          </w:tcPr>
          <w:p>
            <w:r>
              <w:t>2.48%</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87.4%</w:t>
            </w:r>
          </w:p>
        </w:tc>
      </w:tr>
      <w:bookmarkEnd w:id="69"/>
    </w:tbl>
    <w:p>
      <w:pPr>
        <w:jc w:val="center"/>
      </w:pPr>
    </w:p>
    <w:p>
      <w:pPr>
        <w:pStyle w:val="4"/>
      </w:pPr>
      <w:bookmarkStart w:id="70" w:name="_Toc20350"/>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8618"/>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90.1</w:t>
            </w:r>
          </w:p>
        </w:tc>
        <w:tc>
          <w:tcPr>
            <w:tcW w:w="2434" w:type="dxa"/>
            <w:shd w:val="clear" w:color="auto" w:fill="ECECEC" w:themeFill="accent3" w:themeFillTint="33"/>
          </w:tcPr>
          <w:p>
            <w:pPr>
              <w:jc w:val="center"/>
              <w:rPr>
                <w:szCs w:val="21"/>
              </w:rPr>
            </w:pPr>
            <w:r>
              <w:rPr>
                <w:szCs w:val="21"/>
              </w:rPr>
              <w:t>4.64</w:t>
            </w:r>
          </w:p>
        </w:tc>
        <w:tc>
          <w:tcPr>
            <w:tcW w:w="2224" w:type="dxa"/>
            <w:shd w:val="clear" w:color="auto" w:fill="ECECEC" w:themeFill="accent3" w:themeFillTint="33"/>
          </w:tcPr>
          <w:p>
            <w:pPr>
              <w:jc w:val="center"/>
              <w:rPr>
                <w:szCs w:val="21"/>
              </w:rPr>
            </w:pPr>
            <w:r>
              <w:rPr>
                <w:szCs w:val="21"/>
              </w:rPr>
              <w:t>6.4</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97.1</w:t>
            </w:r>
          </w:p>
        </w:tc>
        <w:tc>
          <w:tcPr>
            <w:tcW w:w="2434" w:type="dxa"/>
          </w:tcPr>
          <w:p>
            <w:pPr>
              <w:jc w:val="center"/>
              <w:rPr>
                <w:szCs w:val="21"/>
              </w:rPr>
            </w:pPr>
            <w:r>
              <w:rPr>
                <w:szCs w:val="21"/>
              </w:rPr>
              <w:t>4.99</w:t>
            </w:r>
          </w:p>
        </w:tc>
        <w:tc>
          <w:tcPr>
            <w:tcW w:w="2224" w:type="dxa"/>
          </w:tcPr>
          <w:p>
            <w:pPr>
              <w:jc w:val="center"/>
              <w:rPr>
                <w:szCs w:val="21"/>
              </w:rPr>
            </w:pPr>
            <w:r>
              <w:rPr>
                <w:szCs w:val="21"/>
              </w:rPr>
              <w:t>6.8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137.8</w:t>
            </w:r>
          </w:p>
        </w:tc>
        <w:tc>
          <w:tcPr>
            <w:tcW w:w="2434" w:type="dxa"/>
            <w:shd w:val="clear" w:color="auto" w:fill="ECECEC" w:themeFill="accent3" w:themeFillTint="33"/>
          </w:tcPr>
          <w:p>
            <w:pPr>
              <w:jc w:val="center"/>
              <w:rPr>
                <w:szCs w:val="21"/>
              </w:rPr>
            </w:pPr>
            <w:r>
              <w:rPr>
                <w:szCs w:val="21"/>
              </w:rPr>
              <w:t>7.06</w:t>
            </w:r>
          </w:p>
        </w:tc>
        <w:tc>
          <w:tcPr>
            <w:tcW w:w="2224" w:type="dxa"/>
            <w:shd w:val="clear" w:color="auto" w:fill="ECECEC" w:themeFill="accent3" w:themeFillTint="33"/>
          </w:tcPr>
          <w:p>
            <w:pPr>
              <w:jc w:val="center"/>
              <w:rPr>
                <w:szCs w:val="21"/>
              </w:rPr>
            </w:pPr>
            <w:r>
              <w:rPr>
                <w:szCs w:val="21"/>
              </w:rPr>
              <w:t>9.7</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149.4</w:t>
            </w:r>
          </w:p>
        </w:tc>
        <w:tc>
          <w:tcPr>
            <w:tcW w:w="2434" w:type="dxa"/>
          </w:tcPr>
          <w:p>
            <w:pPr>
              <w:jc w:val="center"/>
              <w:rPr>
                <w:szCs w:val="21"/>
              </w:rPr>
            </w:pPr>
            <w:r>
              <w:rPr>
                <w:szCs w:val="21"/>
              </w:rPr>
              <w:t>7.59</w:t>
            </w:r>
          </w:p>
        </w:tc>
        <w:tc>
          <w:tcPr>
            <w:tcW w:w="2224" w:type="dxa"/>
          </w:tcPr>
          <w:p>
            <w:pPr>
              <w:jc w:val="center"/>
              <w:rPr>
                <w:szCs w:val="21"/>
              </w:rPr>
            </w:pPr>
            <w:r>
              <w:rPr>
                <w:szCs w:val="21"/>
              </w:rPr>
              <w:t>10.4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164.9</w:t>
            </w:r>
          </w:p>
        </w:tc>
        <w:tc>
          <w:tcPr>
            <w:tcW w:w="2434" w:type="dxa"/>
            <w:shd w:val="clear" w:color="auto" w:fill="ECECEC" w:themeFill="accent3" w:themeFillTint="33"/>
          </w:tcPr>
          <w:p>
            <w:pPr>
              <w:jc w:val="center"/>
              <w:rPr>
                <w:szCs w:val="21"/>
              </w:rPr>
            </w:pPr>
            <w:r>
              <w:rPr>
                <w:szCs w:val="21"/>
              </w:rPr>
              <w:t>8.22</w:t>
            </w:r>
          </w:p>
        </w:tc>
        <w:tc>
          <w:tcPr>
            <w:tcW w:w="2224" w:type="dxa"/>
            <w:shd w:val="clear" w:color="auto" w:fill="ECECEC" w:themeFill="accent3" w:themeFillTint="33"/>
          </w:tcPr>
          <w:p>
            <w:pPr>
              <w:jc w:val="center"/>
              <w:rPr>
                <w:szCs w:val="21"/>
              </w:rPr>
            </w:pPr>
            <w:r>
              <w:rPr>
                <w:szCs w:val="21"/>
              </w:rPr>
              <w:t>11.3</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155.1</w:t>
            </w:r>
          </w:p>
        </w:tc>
        <w:tc>
          <w:tcPr>
            <w:tcW w:w="2434" w:type="dxa"/>
          </w:tcPr>
          <w:p>
            <w:pPr>
              <w:jc w:val="center"/>
              <w:rPr>
                <w:szCs w:val="21"/>
              </w:rPr>
            </w:pPr>
            <w:r>
              <w:rPr>
                <w:szCs w:val="21"/>
              </w:rPr>
              <w:t>7.56</w:t>
            </w:r>
          </w:p>
        </w:tc>
        <w:tc>
          <w:tcPr>
            <w:tcW w:w="2224" w:type="dxa"/>
          </w:tcPr>
          <w:p>
            <w:pPr>
              <w:jc w:val="center"/>
              <w:rPr>
                <w:szCs w:val="21"/>
              </w:rPr>
            </w:pPr>
            <w:r>
              <w:rPr>
                <w:szCs w:val="21"/>
              </w:rPr>
              <w:t>10.4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126.7</w:t>
            </w:r>
          </w:p>
        </w:tc>
        <w:tc>
          <w:tcPr>
            <w:tcW w:w="2434" w:type="dxa"/>
            <w:shd w:val="clear" w:color="auto" w:fill="ECECEC" w:themeFill="accent3" w:themeFillTint="33"/>
          </w:tcPr>
          <w:p>
            <w:pPr>
              <w:jc w:val="center"/>
              <w:rPr>
                <w:szCs w:val="21"/>
              </w:rPr>
            </w:pPr>
            <w:r>
              <w:rPr>
                <w:szCs w:val="21"/>
              </w:rPr>
              <w:t>6.18</w:t>
            </w:r>
          </w:p>
        </w:tc>
        <w:tc>
          <w:tcPr>
            <w:tcW w:w="2224" w:type="dxa"/>
            <w:shd w:val="clear" w:color="auto" w:fill="ECECEC" w:themeFill="accent3" w:themeFillTint="33"/>
          </w:tcPr>
          <w:p>
            <w:pPr>
              <w:jc w:val="center"/>
              <w:rPr>
                <w:szCs w:val="21"/>
              </w:rPr>
            </w:pPr>
            <w:r>
              <w:rPr>
                <w:szCs w:val="21"/>
              </w:rPr>
              <w:t>8.5</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137.1</w:t>
            </w:r>
          </w:p>
        </w:tc>
        <w:tc>
          <w:tcPr>
            <w:tcW w:w="2434" w:type="dxa"/>
          </w:tcPr>
          <w:p>
            <w:pPr>
              <w:jc w:val="center"/>
              <w:rPr>
                <w:szCs w:val="21"/>
              </w:rPr>
            </w:pPr>
            <w:r>
              <w:rPr>
                <w:szCs w:val="21"/>
              </w:rPr>
              <w:t>6.60</w:t>
            </w:r>
          </w:p>
        </w:tc>
        <w:tc>
          <w:tcPr>
            <w:tcW w:w="2224" w:type="dxa"/>
          </w:tcPr>
          <w:p>
            <w:pPr>
              <w:jc w:val="center"/>
              <w:rPr>
                <w:szCs w:val="21"/>
              </w:rPr>
            </w:pPr>
            <w:r>
              <w:rPr>
                <w:szCs w:val="21"/>
              </w:rPr>
              <w:t>9.1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131.7</w:t>
            </w:r>
          </w:p>
        </w:tc>
        <w:tc>
          <w:tcPr>
            <w:tcW w:w="2434" w:type="dxa"/>
            <w:shd w:val="clear" w:color="auto" w:fill="ECECEC" w:themeFill="accent3" w:themeFillTint="33"/>
          </w:tcPr>
          <w:p>
            <w:pPr>
              <w:jc w:val="center"/>
              <w:rPr>
                <w:szCs w:val="21"/>
              </w:rPr>
            </w:pPr>
            <w:r>
              <w:rPr>
                <w:szCs w:val="21"/>
              </w:rPr>
              <w:t>6.46</w:t>
            </w:r>
          </w:p>
        </w:tc>
        <w:tc>
          <w:tcPr>
            <w:tcW w:w="2224" w:type="dxa"/>
            <w:shd w:val="clear" w:color="auto" w:fill="ECECEC" w:themeFill="accent3" w:themeFillTint="33"/>
          </w:tcPr>
          <w:p>
            <w:pPr>
              <w:jc w:val="center"/>
              <w:rPr>
                <w:szCs w:val="21"/>
              </w:rPr>
            </w:pPr>
            <w:r>
              <w:rPr>
                <w:szCs w:val="21"/>
              </w:rPr>
              <w:t>8.9</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113.2</w:t>
            </w:r>
          </w:p>
        </w:tc>
        <w:tc>
          <w:tcPr>
            <w:tcW w:w="2434" w:type="dxa"/>
          </w:tcPr>
          <w:p>
            <w:pPr>
              <w:jc w:val="center"/>
              <w:rPr>
                <w:szCs w:val="21"/>
              </w:rPr>
            </w:pPr>
            <w:r>
              <w:rPr>
                <w:szCs w:val="21"/>
              </w:rPr>
              <w:t>5.65</w:t>
            </w:r>
          </w:p>
        </w:tc>
        <w:tc>
          <w:tcPr>
            <w:tcW w:w="2224" w:type="dxa"/>
          </w:tcPr>
          <w:p>
            <w:pPr>
              <w:jc w:val="center"/>
              <w:rPr>
                <w:szCs w:val="21"/>
              </w:rPr>
            </w:pPr>
            <w:r>
              <w:rPr>
                <w:szCs w:val="21"/>
              </w:rPr>
              <w:t>7.8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85.0</w:t>
            </w:r>
          </w:p>
        </w:tc>
        <w:tc>
          <w:tcPr>
            <w:tcW w:w="2434" w:type="dxa"/>
            <w:shd w:val="clear" w:color="auto" w:fill="ECECEC" w:themeFill="accent3" w:themeFillTint="33"/>
          </w:tcPr>
          <w:p>
            <w:pPr>
              <w:jc w:val="center"/>
              <w:rPr>
                <w:szCs w:val="21"/>
              </w:rPr>
            </w:pPr>
            <w:r>
              <w:rPr>
                <w:szCs w:val="21"/>
              </w:rPr>
              <w:t>4.36</w:t>
            </w:r>
          </w:p>
        </w:tc>
        <w:tc>
          <w:tcPr>
            <w:tcW w:w="2224" w:type="dxa"/>
            <w:shd w:val="clear" w:color="auto" w:fill="ECECEC" w:themeFill="accent3" w:themeFillTint="33"/>
          </w:tcPr>
          <w:p>
            <w:pPr>
              <w:jc w:val="center"/>
              <w:rPr>
                <w:szCs w:val="21"/>
              </w:rPr>
            </w:pPr>
            <w:r>
              <w:rPr>
                <w:szCs w:val="21"/>
              </w:rPr>
              <w:t>6.0</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68.1</w:t>
            </w:r>
          </w:p>
        </w:tc>
        <w:tc>
          <w:tcPr>
            <w:tcW w:w="2434" w:type="dxa"/>
          </w:tcPr>
          <w:p>
            <w:pPr>
              <w:jc w:val="center"/>
              <w:rPr>
                <w:szCs w:val="21"/>
              </w:rPr>
            </w:pPr>
            <w:r>
              <w:rPr>
                <w:szCs w:val="21"/>
              </w:rPr>
              <w:t>3.50</w:t>
            </w:r>
          </w:p>
        </w:tc>
        <w:tc>
          <w:tcPr>
            <w:tcW w:w="2224" w:type="dxa"/>
          </w:tcPr>
          <w:p>
            <w:pPr>
              <w:jc w:val="center"/>
              <w:rPr>
                <w:szCs w:val="21"/>
              </w:rPr>
            </w:pPr>
            <w:r>
              <w:rPr>
                <w:szCs w:val="21"/>
              </w:rPr>
              <w:t>4.8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1456.2</w:t>
            </w:r>
          </w:p>
        </w:tc>
        <w:tc>
          <w:tcPr>
            <w:tcW w:w="2434" w:type="dxa"/>
            <w:shd w:val="clear" w:color="auto" w:fill="ECECEC" w:themeFill="accent3" w:themeFillTint="33"/>
          </w:tcPr>
          <w:p>
            <w:pPr>
              <w:jc w:val="center"/>
              <w:rPr>
                <w:szCs w:val="21"/>
              </w:rPr>
            </w:pPr>
            <w:r>
              <w:rPr>
                <w:szCs w:val="21"/>
              </w:rPr>
              <w:t>72.81</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72.81MWh</w:t>
            </w:r>
          </w:p>
        </w:tc>
      </w:tr>
      <w:bookmarkEnd w:id="72"/>
    </w:tbl>
    <w:p>
      <w:pPr>
        <w:pStyle w:val="3"/>
        <w:jc w:val="center"/>
      </w:pPr>
    </w:p>
    <w:p>
      <w:pPr>
        <w:pStyle w:val="3"/>
        <w:jc w:val="center"/>
      </w:pPr>
      <w:bookmarkStart w:id="73" w:name="光伏发电彩图"/>
      <w:bookmarkEnd w:id="73"/>
      <w:r>
        <w:t>选择光伏计算结果输出[彩图输出]选项，软件会生成对应光伏发电彩图！</w:t>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pPr>
        <w:pStyle w:val="5"/>
      </w:pPr>
      <w:bookmarkStart w:id="77" w:name="_Toc127542304"/>
      <w:bookmarkStart w:id="78" w:name="_Toc14491"/>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2.00%</w:t>
            </w:r>
          </w:p>
        </w:tc>
        <w:tc>
          <w:tcPr>
            <w:tcW w:w="2268" w:type="dxa"/>
          </w:tcPr>
          <w:p>
            <w:pPr>
              <w:spacing w:line="360" w:lineRule="exact"/>
              <w:jc w:val="center"/>
              <w:rPr>
                <w:lang w:val="en-US"/>
              </w:rPr>
            </w:pPr>
            <w:r>
              <w:rPr>
                <w:lang w:val="en-US"/>
              </w:rPr>
              <w:t>72.81</w:t>
            </w:r>
          </w:p>
        </w:tc>
        <w:tc>
          <w:tcPr>
            <w:tcW w:w="2268" w:type="dxa"/>
          </w:tcPr>
          <w:p>
            <w:pPr>
              <w:spacing w:line="360" w:lineRule="exact"/>
              <w:jc w:val="center"/>
              <w:rPr>
                <w:lang w:val="en-US"/>
              </w:rPr>
            </w:pPr>
            <w:r>
              <w:rPr>
                <w:lang w:val="en-US"/>
              </w:rPr>
              <w:t>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72.45</w:t>
            </w:r>
          </w:p>
        </w:tc>
        <w:tc>
          <w:tcPr>
            <w:tcW w:w="2268" w:type="dxa"/>
            <w:shd w:val="clear" w:color="auto" w:fill="F2F2F2"/>
          </w:tcPr>
          <w:p>
            <w:pPr>
              <w:spacing w:line="360" w:lineRule="exact"/>
              <w:jc w:val="center"/>
              <w:rPr>
                <w:lang w:val="en-US"/>
              </w:rPr>
            </w:pPr>
            <w:r>
              <w:rPr>
                <w:lang w:val="en-US"/>
              </w:rPr>
              <w:t>1267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72.08</w:t>
            </w:r>
          </w:p>
        </w:tc>
        <w:tc>
          <w:tcPr>
            <w:tcW w:w="2268" w:type="dxa"/>
          </w:tcPr>
          <w:p>
            <w:pPr>
              <w:spacing w:line="360" w:lineRule="exact"/>
              <w:jc w:val="center"/>
              <w:rPr>
                <w:lang w:val="en-US"/>
              </w:rPr>
            </w:pPr>
            <w:r>
              <w:rPr>
                <w:lang w:val="en-US"/>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71.72</w:t>
            </w:r>
          </w:p>
        </w:tc>
        <w:tc>
          <w:tcPr>
            <w:tcW w:w="2268" w:type="dxa"/>
            <w:shd w:val="clear" w:color="auto" w:fill="F2F2F2"/>
          </w:tcPr>
          <w:p>
            <w:pPr>
              <w:spacing w:line="360" w:lineRule="exact"/>
              <w:jc w:val="center"/>
              <w:rPr>
                <w:lang w:val="en-US"/>
              </w:rPr>
            </w:pPr>
            <w:r>
              <w:rPr>
                <w:lang w:val="en-US"/>
              </w:rPr>
              <w:t>1254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71.37</w:t>
            </w:r>
          </w:p>
        </w:tc>
        <w:tc>
          <w:tcPr>
            <w:tcW w:w="2268" w:type="dxa"/>
          </w:tcPr>
          <w:p>
            <w:pPr>
              <w:spacing w:line="360" w:lineRule="exact"/>
              <w:jc w:val="center"/>
              <w:rPr>
                <w:lang w:val="en-US"/>
              </w:rPr>
            </w:pPr>
            <w:r>
              <w:rPr>
                <w:lang w:val="en-US"/>
              </w:rPr>
              <w:t>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71.01</w:t>
            </w:r>
          </w:p>
        </w:tc>
        <w:tc>
          <w:tcPr>
            <w:tcW w:w="2268" w:type="dxa"/>
            <w:shd w:val="clear" w:color="auto" w:fill="F2F2F2"/>
          </w:tcPr>
          <w:p>
            <w:pPr>
              <w:spacing w:line="360" w:lineRule="exact"/>
              <w:jc w:val="center"/>
              <w:rPr>
                <w:lang w:val="en-US"/>
              </w:rPr>
            </w:pPr>
            <w:r>
              <w:rPr>
                <w:lang w:val="en-US"/>
              </w:rPr>
              <w:t>1241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70.65</w:t>
            </w:r>
          </w:p>
        </w:tc>
        <w:tc>
          <w:tcPr>
            <w:tcW w:w="2268" w:type="dxa"/>
          </w:tcPr>
          <w:p>
            <w:pPr>
              <w:spacing w:line="360" w:lineRule="exact"/>
              <w:jc w:val="center"/>
              <w:rPr>
                <w:lang w:val="en-US"/>
              </w:rPr>
            </w:pPr>
            <w:r>
              <w:rPr>
                <w:lang w:val="en-US"/>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70.30</w:t>
            </w:r>
          </w:p>
        </w:tc>
        <w:tc>
          <w:tcPr>
            <w:tcW w:w="2268" w:type="dxa"/>
            <w:shd w:val="clear" w:color="auto" w:fill="F2F2F2"/>
          </w:tcPr>
          <w:p>
            <w:pPr>
              <w:spacing w:line="360" w:lineRule="exact"/>
              <w:jc w:val="center"/>
              <w:rPr>
                <w:lang w:val="en-US"/>
              </w:rPr>
            </w:pPr>
            <w:r>
              <w:rPr>
                <w:lang w:val="en-US"/>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69.95</w:t>
            </w:r>
          </w:p>
        </w:tc>
        <w:tc>
          <w:tcPr>
            <w:tcW w:w="2268" w:type="dxa"/>
          </w:tcPr>
          <w:p>
            <w:pPr>
              <w:spacing w:line="360" w:lineRule="exact"/>
              <w:jc w:val="center"/>
              <w:rPr>
                <w:lang w:val="en-US"/>
              </w:rPr>
            </w:pPr>
            <w:r>
              <w:rPr>
                <w:lang w:val="en-US"/>
              </w:rPr>
              <w:t>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69.60</w:t>
            </w:r>
          </w:p>
        </w:tc>
        <w:tc>
          <w:tcPr>
            <w:tcW w:w="2268" w:type="dxa"/>
            <w:shd w:val="clear" w:color="auto" w:fill="F2F2F2"/>
          </w:tcPr>
          <w:p>
            <w:pPr>
              <w:spacing w:line="360" w:lineRule="exact"/>
              <w:jc w:val="center"/>
              <w:rPr>
                <w:lang w:val="en-US"/>
              </w:rPr>
            </w:pPr>
            <w:r>
              <w:rPr>
                <w:lang w:val="en-US"/>
              </w:rPr>
              <w:t>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69.25</w:t>
            </w:r>
          </w:p>
        </w:tc>
        <w:tc>
          <w:tcPr>
            <w:tcW w:w="2268" w:type="dxa"/>
          </w:tcPr>
          <w:p>
            <w:pPr>
              <w:spacing w:line="360" w:lineRule="exact"/>
              <w:jc w:val="center"/>
              <w:rPr>
                <w:lang w:val="en-US"/>
              </w:rPr>
            </w:pPr>
            <w:r>
              <w:rPr>
                <w:lang w:val="en-US"/>
              </w:rPr>
              <w:t>1211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68.91</w:t>
            </w:r>
          </w:p>
        </w:tc>
        <w:tc>
          <w:tcPr>
            <w:tcW w:w="2268" w:type="dxa"/>
            <w:shd w:val="clear" w:color="auto" w:fill="F2F2F2"/>
          </w:tcPr>
          <w:p>
            <w:pPr>
              <w:spacing w:line="360" w:lineRule="exact"/>
              <w:jc w:val="center"/>
              <w:rPr>
                <w:lang w:val="en-US"/>
              </w:rPr>
            </w:pPr>
            <w:r>
              <w:rPr>
                <w:lang w:val="en-US"/>
              </w:rPr>
              <w:t>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68.56</w:t>
            </w:r>
          </w:p>
        </w:tc>
        <w:tc>
          <w:tcPr>
            <w:tcW w:w="2268" w:type="dxa"/>
          </w:tcPr>
          <w:p>
            <w:pPr>
              <w:spacing w:line="360" w:lineRule="exact"/>
              <w:jc w:val="center"/>
              <w:rPr>
                <w:lang w:val="en-US"/>
              </w:rPr>
            </w:pPr>
            <w:r>
              <w:rPr>
                <w:lang w:val="en-US"/>
              </w:rPr>
              <w:t>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68.22</w:t>
            </w:r>
          </w:p>
        </w:tc>
        <w:tc>
          <w:tcPr>
            <w:tcW w:w="2268" w:type="dxa"/>
            <w:shd w:val="clear" w:color="auto" w:fill="F2F2F2"/>
          </w:tcPr>
          <w:p>
            <w:pPr>
              <w:spacing w:line="360" w:lineRule="exact"/>
              <w:jc w:val="center"/>
              <w:rPr>
                <w:lang w:val="en-US"/>
              </w:rPr>
            </w:pPr>
            <w:r>
              <w:rPr>
                <w:lang w:val="en-US"/>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67.88</w:t>
            </w:r>
          </w:p>
        </w:tc>
        <w:tc>
          <w:tcPr>
            <w:tcW w:w="2268" w:type="dxa"/>
          </w:tcPr>
          <w:p>
            <w:pPr>
              <w:spacing w:line="360" w:lineRule="exact"/>
              <w:jc w:val="center"/>
              <w:rPr>
                <w:lang w:val="en-US"/>
              </w:rPr>
            </w:pPr>
            <w:r>
              <w:rPr>
                <w:lang w:val="en-US"/>
              </w:rPr>
              <w:t>1187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67.54</w:t>
            </w:r>
          </w:p>
        </w:tc>
        <w:tc>
          <w:tcPr>
            <w:tcW w:w="2268" w:type="dxa"/>
            <w:shd w:val="clear" w:color="auto" w:fill="F2F2F2"/>
          </w:tcPr>
          <w:p>
            <w:pPr>
              <w:spacing w:line="360" w:lineRule="exact"/>
              <w:jc w:val="center"/>
              <w:rPr>
                <w:lang w:val="en-US"/>
              </w:rPr>
            </w:pPr>
            <w:r>
              <w:rPr>
                <w:lang w:val="en-US"/>
              </w:rPr>
              <w:t>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67.20</w:t>
            </w:r>
          </w:p>
        </w:tc>
        <w:tc>
          <w:tcPr>
            <w:tcW w:w="2268" w:type="dxa"/>
          </w:tcPr>
          <w:p>
            <w:pPr>
              <w:spacing w:line="360" w:lineRule="exact"/>
              <w:jc w:val="center"/>
              <w:rPr>
                <w:lang w:val="en-US"/>
              </w:rPr>
            </w:pPr>
            <w:r>
              <w:rPr>
                <w:lang w:val="en-US"/>
              </w:rPr>
              <w:t>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66.86</w:t>
            </w:r>
          </w:p>
        </w:tc>
        <w:tc>
          <w:tcPr>
            <w:tcW w:w="2268" w:type="dxa"/>
            <w:shd w:val="clear" w:color="auto" w:fill="F2F2F2"/>
          </w:tcPr>
          <w:p>
            <w:pPr>
              <w:spacing w:line="360" w:lineRule="exact"/>
              <w:jc w:val="center"/>
              <w:rPr>
                <w:lang w:val="en-US"/>
              </w:rPr>
            </w:pPr>
            <w:r>
              <w:rPr>
                <w:lang w:val="en-US"/>
              </w:rPr>
              <w:t>1169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66.53</w:t>
            </w:r>
          </w:p>
        </w:tc>
        <w:tc>
          <w:tcPr>
            <w:tcW w:w="2268" w:type="dxa"/>
          </w:tcPr>
          <w:p>
            <w:pPr>
              <w:spacing w:line="360" w:lineRule="exact"/>
              <w:jc w:val="center"/>
              <w:rPr>
                <w:lang w:val="en-US"/>
              </w:rPr>
            </w:pPr>
            <w:r>
              <w:rPr>
                <w:lang w:val="en-US"/>
              </w:rPr>
              <w:t>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66.20</w:t>
            </w:r>
          </w:p>
        </w:tc>
        <w:tc>
          <w:tcPr>
            <w:tcW w:w="2268" w:type="dxa"/>
            <w:shd w:val="clear" w:color="auto" w:fill="F2F2F2"/>
          </w:tcPr>
          <w:p>
            <w:pPr>
              <w:spacing w:line="360" w:lineRule="exact"/>
              <w:jc w:val="center"/>
              <w:rPr>
                <w:lang w:val="en-US"/>
              </w:rPr>
            </w:pPr>
            <w:r>
              <w:rPr>
                <w:lang w:val="en-US"/>
              </w:rPr>
              <w:t>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65.87</w:t>
            </w:r>
          </w:p>
        </w:tc>
        <w:tc>
          <w:tcPr>
            <w:tcW w:w="2268" w:type="dxa"/>
          </w:tcPr>
          <w:p>
            <w:pPr>
              <w:spacing w:line="360" w:lineRule="exact"/>
              <w:jc w:val="center"/>
              <w:rPr>
                <w:lang w:val="en-US"/>
              </w:rPr>
            </w:pPr>
            <w:r>
              <w:rPr>
                <w:lang w:val="en-US"/>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65.54</w:t>
            </w:r>
          </w:p>
        </w:tc>
        <w:tc>
          <w:tcPr>
            <w:tcW w:w="2268" w:type="dxa"/>
            <w:shd w:val="clear" w:color="auto" w:fill="F2F2F2"/>
          </w:tcPr>
          <w:p>
            <w:pPr>
              <w:spacing w:line="360" w:lineRule="exact"/>
              <w:jc w:val="center"/>
              <w:rPr>
                <w:lang w:val="en-US"/>
              </w:rPr>
            </w:pPr>
            <w:r>
              <w:rPr>
                <w:lang w:val="en-US"/>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65.21</w:t>
            </w:r>
          </w:p>
        </w:tc>
        <w:tc>
          <w:tcPr>
            <w:tcW w:w="2268" w:type="dxa"/>
          </w:tcPr>
          <w:p>
            <w:pPr>
              <w:spacing w:line="360" w:lineRule="exact"/>
              <w:jc w:val="center"/>
              <w:rPr>
                <w:lang w:val="en-US"/>
              </w:rPr>
            </w:pPr>
            <w:r>
              <w:rPr>
                <w:lang w:val="en-US"/>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0.50%</w:t>
            </w:r>
          </w:p>
        </w:tc>
        <w:tc>
          <w:tcPr>
            <w:tcW w:w="2268" w:type="dxa"/>
            <w:shd w:val="clear" w:color="auto" w:fill="F2F2F2"/>
          </w:tcPr>
          <w:p>
            <w:pPr>
              <w:spacing w:line="360" w:lineRule="exact"/>
              <w:jc w:val="center"/>
              <w:rPr>
                <w:lang w:val="en-US"/>
              </w:rPr>
            </w:pPr>
            <w:r>
              <w:rPr>
                <w:lang w:val="en-US"/>
              </w:rPr>
              <w:t>64.88</w:t>
            </w:r>
          </w:p>
        </w:tc>
        <w:tc>
          <w:tcPr>
            <w:tcW w:w="2268" w:type="dxa"/>
            <w:shd w:val="clear" w:color="auto" w:fill="F2F2F2"/>
          </w:tcPr>
          <w:p>
            <w:pPr>
              <w:spacing w:line="360" w:lineRule="exact"/>
              <w:jc w:val="center"/>
              <w:rPr>
                <w:lang w:val="en-US"/>
              </w:rPr>
            </w:pPr>
            <w:r>
              <w:rPr>
                <w:lang w:val="en-US"/>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0.50%</w:t>
            </w:r>
          </w:p>
        </w:tc>
        <w:tc>
          <w:tcPr>
            <w:tcW w:w="2268" w:type="dxa"/>
          </w:tcPr>
          <w:p>
            <w:pPr>
              <w:spacing w:line="360" w:lineRule="exact"/>
              <w:jc w:val="center"/>
              <w:rPr>
                <w:lang w:val="en-US"/>
              </w:rPr>
            </w:pPr>
            <w:r>
              <w:rPr>
                <w:lang w:val="en-US"/>
              </w:rPr>
              <w:t>64.56</w:t>
            </w:r>
          </w:p>
        </w:tc>
        <w:tc>
          <w:tcPr>
            <w:tcW w:w="2268" w:type="dxa"/>
          </w:tcPr>
          <w:p>
            <w:pPr>
              <w:spacing w:line="360" w:lineRule="exact"/>
              <w:jc w:val="center"/>
              <w:rPr>
                <w:lang w:val="en-US"/>
              </w:rPr>
            </w:pPr>
            <w:r>
              <w:rPr>
                <w:lang w:val="en-US"/>
              </w:rPr>
              <w:t>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1715.14MWh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29985h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pPr>
        <w:pStyle w:val="2"/>
      </w:pPr>
      <w:bookmarkStart w:id="81" w:name="_Toc31128"/>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57.2</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pPr>
              <w:rPr>
                <w:lang w:val="en-US"/>
              </w:rPr>
            </w:pPr>
            <w:r>
              <w:rPr>
                <w:rFonts w:hint="eastAsia"/>
                <w:lang w:val="en-US"/>
              </w:rPr>
              <w:t>17.16</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34.32</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pPr>
              <w:rPr>
                <w:lang w:val="en-US"/>
              </w:rPr>
            </w:pPr>
            <w:r>
              <w:rPr>
                <w:lang w:val="en-US"/>
              </w:rPr>
              <w:t>8.64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49.43</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0.29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pPr>
              <w:rPr>
                <w:lang w:val="en-US"/>
              </w:rPr>
            </w:pPr>
            <w:r>
              <w:rPr>
                <w:lang w:val="en-US"/>
              </w:rPr>
              <w:t>30%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24.02</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pPr>
              <w:rPr>
                <w:lang w:val="en-US"/>
              </w:rPr>
            </w:pPr>
            <w:r>
              <w:rPr>
                <w:lang w:val="en-US"/>
              </w:rPr>
              <w:t>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7.96</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72.81</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pPr>
              <w:rPr>
                <w:lang w:val="en-US"/>
              </w:rPr>
            </w:pPr>
            <w:r>
              <w:rPr>
                <w:lang w:val="en-US"/>
              </w:rPr>
              <w:t>1715.14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68.61</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pPr>
              <w:rPr>
                <w:lang w:val="en-US"/>
              </w:rPr>
            </w:pPr>
            <w:r>
              <w:rPr>
                <w:lang w:val="en-US"/>
              </w:rPr>
              <w:t>0.29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59.16</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2.55</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9.73</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pPr>
              <w:rPr>
                <w:lang w:val="en-US"/>
              </w:rPr>
            </w:pPr>
            <w:r>
              <w:rPr>
                <w:lang w:val="en-US"/>
              </w:rPr>
              <w:t>20.16</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-11.8</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pPr>
              <w:rPr>
                <w:lang w:val="en-US"/>
              </w:rPr>
            </w:pPr>
            <w:r>
              <w:rPr>
                <w:lang w:val="en-US"/>
              </w:rPr>
              <w:t>--</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p>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2.00%</w:t>
            </w:r>
          </w:p>
        </w:tc>
        <w:tc>
          <w:tcPr>
            <w:tcW w:w="1512" w:type="dxa"/>
            <w:shd w:val="clear" w:color="auto" w:fill="F2F2F2"/>
          </w:tcPr>
          <w:p>
            <w:pPr>
              <w:spacing w:line="360" w:lineRule="exact"/>
              <w:jc w:val="center"/>
              <w:rPr>
                <w:lang w:val="en-US"/>
              </w:rPr>
            </w:pPr>
            <w:r>
              <w:rPr>
                <w:rFonts w:hint="eastAsia"/>
                <w:lang w:val="en-US"/>
              </w:rPr>
              <w:t>72.81</w:t>
            </w:r>
          </w:p>
        </w:tc>
        <w:tc>
          <w:tcPr>
            <w:tcW w:w="1512" w:type="dxa"/>
            <w:shd w:val="clear" w:color="auto" w:fill="F2F2F2"/>
          </w:tcPr>
          <w:p>
            <w:pPr>
              <w:spacing w:line="360" w:lineRule="exact"/>
              <w:jc w:val="center"/>
              <w:rPr>
                <w:lang w:val="en-US"/>
              </w:rPr>
            </w:pPr>
            <w:r>
              <w:rPr>
                <w:rFonts w:hint="eastAsia"/>
                <w:lang w:val="en-US"/>
              </w:rPr>
              <w:t>2.55</w:t>
            </w:r>
          </w:p>
        </w:tc>
        <w:tc>
          <w:tcPr>
            <w:tcW w:w="1512" w:type="dxa"/>
            <w:shd w:val="clear" w:color="auto" w:fill="F2F2F2"/>
          </w:tcPr>
          <w:p>
            <w:pPr>
              <w:spacing w:line="360" w:lineRule="exact"/>
              <w:jc w:val="center"/>
              <w:rPr>
                <w:lang w:val="en-US"/>
              </w:rPr>
            </w:pPr>
            <w:r>
              <w:rPr>
                <w:rFonts w:hint="eastAsia"/>
                <w:lang w:val="en-US"/>
              </w:rPr>
              <w:t>-33.00</w:t>
            </w:r>
          </w:p>
        </w:tc>
        <w:tc>
          <w:tcPr>
            <w:tcW w:w="1512" w:type="dxa"/>
            <w:shd w:val="clear" w:color="auto" w:fill="F2F2F2"/>
          </w:tcPr>
          <w:p>
            <w:pPr>
              <w:spacing w:line="360" w:lineRule="exact"/>
              <w:jc w:val="center"/>
              <w:rPr>
                <w:lang w:val="en-US"/>
              </w:rPr>
            </w:pPr>
            <w:r>
              <w:rPr>
                <w:rFonts w:hint="eastAsia"/>
                <w:lang w:val="en-US"/>
              </w:rPr>
              <w:t>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72.45</w:t>
            </w:r>
          </w:p>
        </w:tc>
        <w:tc>
          <w:tcPr>
            <w:tcW w:w="1512" w:type="dxa"/>
          </w:tcPr>
          <w:p>
            <w:pPr>
              <w:spacing w:line="360" w:lineRule="exact"/>
              <w:jc w:val="center"/>
              <w:rPr>
                <w:lang w:val="en-US"/>
              </w:rPr>
            </w:pPr>
            <w:r>
              <w:rPr>
                <w:rFonts w:hint="eastAsia"/>
                <w:lang w:val="en-US"/>
              </w:rPr>
              <w:t>2.50</w:t>
            </w:r>
          </w:p>
        </w:tc>
        <w:tc>
          <w:tcPr>
            <w:tcW w:w="1512" w:type="dxa"/>
          </w:tcPr>
          <w:p>
            <w:pPr>
              <w:spacing w:line="360" w:lineRule="exact"/>
              <w:jc w:val="center"/>
              <w:rPr>
                <w:lang w:val="en-US"/>
              </w:rPr>
            </w:pPr>
            <w:r>
              <w:rPr>
                <w:rFonts w:hint="eastAsia"/>
                <w:lang w:val="en-US"/>
              </w:rPr>
              <w:t>-31.68</w:t>
            </w:r>
          </w:p>
        </w:tc>
        <w:tc>
          <w:tcPr>
            <w:tcW w:w="1512" w:type="dxa"/>
          </w:tcPr>
          <w:p>
            <w:pPr>
              <w:spacing w:line="360" w:lineRule="exact"/>
              <w:jc w:val="center"/>
              <w:rPr>
                <w:lang w:val="en-US"/>
              </w:rPr>
            </w:pPr>
            <w:r>
              <w:rPr>
                <w:rFonts w:hint="eastAsia"/>
                <w:lang w:val="en-US"/>
              </w:rPr>
              <w:t>1267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72.08</w:t>
            </w:r>
          </w:p>
        </w:tc>
        <w:tc>
          <w:tcPr>
            <w:tcW w:w="1512" w:type="dxa"/>
            <w:shd w:val="clear" w:color="auto" w:fill="F2F2F2"/>
          </w:tcPr>
          <w:p>
            <w:pPr>
              <w:spacing w:line="360" w:lineRule="exact"/>
              <w:jc w:val="center"/>
              <w:rPr>
                <w:lang w:val="en-US"/>
              </w:rPr>
            </w:pPr>
            <w:r>
              <w:rPr>
                <w:rFonts w:hint="eastAsia"/>
                <w:lang w:val="en-US"/>
              </w:rPr>
              <w:t>2.48</w:t>
            </w:r>
          </w:p>
        </w:tc>
        <w:tc>
          <w:tcPr>
            <w:tcW w:w="1512" w:type="dxa"/>
            <w:shd w:val="clear" w:color="auto" w:fill="F2F2F2"/>
          </w:tcPr>
          <w:p>
            <w:pPr>
              <w:spacing w:line="360" w:lineRule="exact"/>
              <w:jc w:val="center"/>
              <w:rPr>
                <w:lang w:val="en-US"/>
              </w:rPr>
            </w:pPr>
            <w:r>
              <w:rPr>
                <w:rFonts w:hint="eastAsia"/>
                <w:lang w:val="en-US"/>
              </w:rPr>
              <w:t>-30.32</w:t>
            </w:r>
          </w:p>
        </w:tc>
        <w:tc>
          <w:tcPr>
            <w:tcW w:w="1512" w:type="dxa"/>
            <w:shd w:val="clear" w:color="auto" w:fill="F2F2F2"/>
          </w:tcPr>
          <w:p>
            <w:pPr>
              <w:spacing w:line="360" w:lineRule="exact"/>
              <w:jc w:val="center"/>
              <w:rPr>
                <w:lang w:val="en-US"/>
              </w:rPr>
            </w:pPr>
            <w:r>
              <w:rPr>
                <w:rFonts w:hint="eastAsia"/>
                <w:lang w:val="en-US"/>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71.72</w:t>
            </w:r>
          </w:p>
        </w:tc>
        <w:tc>
          <w:tcPr>
            <w:tcW w:w="1512" w:type="dxa"/>
          </w:tcPr>
          <w:p>
            <w:pPr>
              <w:spacing w:line="360" w:lineRule="exact"/>
              <w:jc w:val="center"/>
              <w:rPr>
                <w:lang w:val="en-US"/>
              </w:rPr>
            </w:pPr>
            <w:r>
              <w:rPr>
                <w:rFonts w:hint="eastAsia"/>
                <w:lang w:val="en-US"/>
              </w:rPr>
              <w:t>2.47</w:t>
            </w:r>
          </w:p>
        </w:tc>
        <w:tc>
          <w:tcPr>
            <w:tcW w:w="1512" w:type="dxa"/>
          </w:tcPr>
          <w:p>
            <w:pPr>
              <w:spacing w:line="360" w:lineRule="exact"/>
              <w:jc w:val="center"/>
              <w:rPr>
                <w:lang w:val="en-US"/>
              </w:rPr>
            </w:pPr>
            <w:r>
              <w:rPr>
                <w:rFonts w:hint="eastAsia"/>
                <w:lang w:val="en-US"/>
              </w:rPr>
              <w:t>-28.92</w:t>
            </w:r>
          </w:p>
        </w:tc>
        <w:tc>
          <w:tcPr>
            <w:tcW w:w="1512" w:type="dxa"/>
          </w:tcPr>
          <w:p>
            <w:pPr>
              <w:spacing w:line="360" w:lineRule="exact"/>
              <w:jc w:val="center"/>
              <w:rPr>
                <w:lang w:val="en-US"/>
              </w:rPr>
            </w:pPr>
            <w:r>
              <w:rPr>
                <w:rFonts w:hint="eastAsia"/>
                <w:lang w:val="en-US"/>
              </w:rPr>
              <w:t>1254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71.37</w:t>
            </w:r>
          </w:p>
        </w:tc>
        <w:tc>
          <w:tcPr>
            <w:tcW w:w="1512" w:type="dxa"/>
            <w:shd w:val="clear" w:color="auto" w:fill="F2F2F2"/>
          </w:tcPr>
          <w:p>
            <w:pPr>
              <w:spacing w:line="360" w:lineRule="exact"/>
              <w:jc w:val="center"/>
              <w:rPr>
                <w:lang w:val="en-US"/>
              </w:rPr>
            </w:pPr>
            <w:r>
              <w:rPr>
                <w:rFonts w:hint="eastAsia"/>
                <w:lang w:val="en-US"/>
              </w:rPr>
              <w:t>2.46</w:t>
            </w:r>
          </w:p>
        </w:tc>
        <w:tc>
          <w:tcPr>
            <w:tcW w:w="1512" w:type="dxa"/>
            <w:shd w:val="clear" w:color="auto" w:fill="F2F2F2"/>
          </w:tcPr>
          <w:p>
            <w:pPr>
              <w:spacing w:line="360" w:lineRule="exact"/>
              <w:jc w:val="center"/>
              <w:rPr>
                <w:lang w:val="en-US"/>
              </w:rPr>
            </w:pPr>
            <w:r>
              <w:rPr>
                <w:rFonts w:hint="eastAsia"/>
                <w:lang w:val="en-US"/>
              </w:rPr>
              <w:t>-27.48</w:t>
            </w:r>
          </w:p>
        </w:tc>
        <w:tc>
          <w:tcPr>
            <w:tcW w:w="1512" w:type="dxa"/>
            <w:shd w:val="clear" w:color="auto" w:fill="F2F2F2"/>
          </w:tcPr>
          <w:p>
            <w:pPr>
              <w:spacing w:line="360" w:lineRule="exact"/>
              <w:jc w:val="center"/>
              <w:rPr>
                <w:lang w:val="en-US"/>
              </w:rPr>
            </w:pPr>
            <w:r>
              <w:rPr>
                <w:rFonts w:hint="eastAsia"/>
                <w:lang w:val="en-US"/>
              </w:rPr>
              <w:t>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71.01</w:t>
            </w:r>
          </w:p>
        </w:tc>
        <w:tc>
          <w:tcPr>
            <w:tcW w:w="1512" w:type="dxa"/>
          </w:tcPr>
          <w:p>
            <w:pPr>
              <w:spacing w:line="360" w:lineRule="exact"/>
              <w:jc w:val="center"/>
              <w:rPr>
                <w:lang w:val="en-US"/>
              </w:rPr>
            </w:pPr>
            <w:r>
              <w:rPr>
                <w:rFonts w:hint="eastAsia"/>
                <w:lang w:val="en-US"/>
              </w:rPr>
              <w:t>2.45</w:t>
            </w:r>
          </w:p>
        </w:tc>
        <w:tc>
          <w:tcPr>
            <w:tcW w:w="1512" w:type="dxa"/>
          </w:tcPr>
          <w:p>
            <w:pPr>
              <w:spacing w:line="360" w:lineRule="exact"/>
              <w:jc w:val="center"/>
              <w:rPr>
                <w:lang w:val="en-US"/>
              </w:rPr>
            </w:pPr>
            <w:r>
              <w:rPr>
                <w:rFonts w:hint="eastAsia"/>
                <w:lang w:val="en-US"/>
              </w:rPr>
              <w:t>-25.99</w:t>
            </w:r>
          </w:p>
        </w:tc>
        <w:tc>
          <w:tcPr>
            <w:tcW w:w="1512" w:type="dxa"/>
          </w:tcPr>
          <w:p>
            <w:pPr>
              <w:spacing w:line="360" w:lineRule="exact"/>
              <w:jc w:val="center"/>
              <w:rPr>
                <w:lang w:val="en-US"/>
              </w:rPr>
            </w:pPr>
            <w:r>
              <w:rPr>
                <w:rFonts w:hint="eastAsia"/>
                <w:lang w:val="en-US"/>
              </w:rPr>
              <w:t>1241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70.65</w:t>
            </w:r>
          </w:p>
        </w:tc>
        <w:tc>
          <w:tcPr>
            <w:tcW w:w="1512" w:type="dxa"/>
            <w:shd w:val="clear" w:color="auto" w:fill="F2F2F2"/>
          </w:tcPr>
          <w:p>
            <w:pPr>
              <w:spacing w:line="360" w:lineRule="exact"/>
              <w:jc w:val="center"/>
              <w:rPr>
                <w:lang w:val="en-US"/>
              </w:rPr>
            </w:pPr>
            <w:r>
              <w:rPr>
                <w:rFonts w:hint="eastAsia"/>
                <w:lang w:val="en-US"/>
              </w:rPr>
              <w:t>2.44</w:t>
            </w:r>
          </w:p>
        </w:tc>
        <w:tc>
          <w:tcPr>
            <w:tcW w:w="1512" w:type="dxa"/>
            <w:shd w:val="clear" w:color="auto" w:fill="F2F2F2"/>
          </w:tcPr>
          <w:p>
            <w:pPr>
              <w:spacing w:line="360" w:lineRule="exact"/>
              <w:jc w:val="center"/>
              <w:rPr>
                <w:lang w:val="en-US"/>
              </w:rPr>
            </w:pPr>
            <w:r>
              <w:rPr>
                <w:rFonts w:hint="eastAsia"/>
                <w:lang w:val="en-US"/>
              </w:rPr>
              <w:t>-24.46</w:t>
            </w:r>
          </w:p>
        </w:tc>
        <w:tc>
          <w:tcPr>
            <w:tcW w:w="1512" w:type="dxa"/>
            <w:shd w:val="clear" w:color="auto" w:fill="F2F2F2"/>
          </w:tcPr>
          <w:p>
            <w:pPr>
              <w:spacing w:line="360" w:lineRule="exact"/>
              <w:jc w:val="center"/>
              <w:rPr>
                <w:lang w:val="en-US"/>
              </w:rPr>
            </w:pPr>
            <w:r>
              <w:rPr>
                <w:rFonts w:hint="eastAsia"/>
                <w:lang w:val="en-US"/>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70.30</w:t>
            </w:r>
          </w:p>
        </w:tc>
        <w:tc>
          <w:tcPr>
            <w:tcW w:w="1512" w:type="dxa"/>
          </w:tcPr>
          <w:p>
            <w:pPr>
              <w:spacing w:line="360" w:lineRule="exact"/>
              <w:jc w:val="center"/>
              <w:rPr>
                <w:lang w:val="en-US"/>
              </w:rPr>
            </w:pPr>
            <w:r>
              <w:rPr>
                <w:rFonts w:hint="eastAsia"/>
                <w:lang w:val="en-US"/>
              </w:rPr>
              <w:t>2.42</w:t>
            </w:r>
          </w:p>
        </w:tc>
        <w:tc>
          <w:tcPr>
            <w:tcW w:w="1512" w:type="dxa"/>
          </w:tcPr>
          <w:p>
            <w:pPr>
              <w:spacing w:line="360" w:lineRule="exact"/>
              <w:jc w:val="center"/>
              <w:rPr>
                <w:lang w:val="en-US"/>
              </w:rPr>
            </w:pPr>
            <w:r>
              <w:rPr>
                <w:rFonts w:hint="eastAsia"/>
                <w:lang w:val="en-US"/>
              </w:rPr>
              <w:t>-22.87</w:t>
            </w:r>
          </w:p>
        </w:tc>
        <w:tc>
          <w:tcPr>
            <w:tcW w:w="1512" w:type="dxa"/>
          </w:tcPr>
          <w:p>
            <w:pPr>
              <w:spacing w:line="360" w:lineRule="exact"/>
              <w:jc w:val="center"/>
              <w:rPr>
                <w:lang w:val="en-US"/>
              </w:rPr>
            </w:pPr>
            <w:r>
              <w:rPr>
                <w:rFonts w:hint="eastAsia"/>
                <w:lang w:val="en-US"/>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69.95</w:t>
            </w:r>
          </w:p>
        </w:tc>
        <w:tc>
          <w:tcPr>
            <w:tcW w:w="1512" w:type="dxa"/>
            <w:shd w:val="clear" w:color="auto" w:fill="F2F2F2"/>
          </w:tcPr>
          <w:p>
            <w:pPr>
              <w:spacing w:line="360" w:lineRule="exact"/>
              <w:jc w:val="center"/>
              <w:rPr>
                <w:lang w:val="en-US"/>
              </w:rPr>
            </w:pPr>
            <w:r>
              <w:rPr>
                <w:rFonts w:hint="eastAsia"/>
                <w:lang w:val="en-US"/>
              </w:rPr>
              <w:t>2.41</w:t>
            </w:r>
          </w:p>
        </w:tc>
        <w:tc>
          <w:tcPr>
            <w:tcW w:w="1512" w:type="dxa"/>
            <w:shd w:val="clear" w:color="auto" w:fill="F2F2F2"/>
          </w:tcPr>
          <w:p>
            <w:pPr>
              <w:spacing w:line="360" w:lineRule="exact"/>
              <w:jc w:val="center"/>
              <w:rPr>
                <w:lang w:val="en-US"/>
              </w:rPr>
            </w:pPr>
            <w:r>
              <w:rPr>
                <w:rFonts w:hint="eastAsia"/>
                <w:lang w:val="en-US"/>
              </w:rPr>
              <w:t>-21.24</w:t>
            </w:r>
          </w:p>
        </w:tc>
        <w:tc>
          <w:tcPr>
            <w:tcW w:w="1512" w:type="dxa"/>
            <w:shd w:val="clear" w:color="auto" w:fill="F2F2F2"/>
          </w:tcPr>
          <w:p>
            <w:pPr>
              <w:spacing w:line="360" w:lineRule="exact"/>
              <w:jc w:val="center"/>
              <w:rPr>
                <w:lang w:val="en-US"/>
              </w:rPr>
            </w:pPr>
            <w:r>
              <w:rPr>
                <w:rFonts w:hint="eastAsia"/>
                <w:lang w:val="en-US"/>
              </w:rPr>
              <w:t>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69.60</w:t>
            </w:r>
          </w:p>
        </w:tc>
        <w:tc>
          <w:tcPr>
            <w:tcW w:w="1512" w:type="dxa"/>
          </w:tcPr>
          <w:p>
            <w:pPr>
              <w:spacing w:line="360" w:lineRule="exact"/>
              <w:jc w:val="center"/>
              <w:rPr>
                <w:lang w:val="en-US"/>
              </w:rPr>
            </w:pPr>
            <w:r>
              <w:rPr>
                <w:rFonts w:hint="eastAsia"/>
                <w:lang w:val="en-US"/>
              </w:rPr>
              <w:t>2.40</w:t>
            </w:r>
          </w:p>
        </w:tc>
        <w:tc>
          <w:tcPr>
            <w:tcW w:w="1512" w:type="dxa"/>
          </w:tcPr>
          <w:p>
            <w:pPr>
              <w:spacing w:line="360" w:lineRule="exact"/>
              <w:jc w:val="center"/>
              <w:rPr>
                <w:lang w:val="en-US"/>
              </w:rPr>
            </w:pPr>
            <w:r>
              <w:rPr>
                <w:rFonts w:hint="eastAsia"/>
                <w:lang w:val="en-US"/>
              </w:rPr>
              <w:t>-19.55</w:t>
            </w:r>
          </w:p>
        </w:tc>
        <w:tc>
          <w:tcPr>
            <w:tcW w:w="1512" w:type="dxa"/>
          </w:tcPr>
          <w:p>
            <w:pPr>
              <w:spacing w:line="360" w:lineRule="exact"/>
              <w:jc w:val="center"/>
              <w:rPr>
                <w:lang w:val="en-US"/>
              </w:rPr>
            </w:pPr>
            <w:r>
              <w:rPr>
                <w:rFonts w:hint="eastAsia"/>
                <w:lang w:val="en-US"/>
              </w:rPr>
              <w:t>1217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69.25</w:t>
            </w:r>
          </w:p>
        </w:tc>
        <w:tc>
          <w:tcPr>
            <w:tcW w:w="1512" w:type="dxa"/>
            <w:shd w:val="clear" w:color="auto" w:fill="F2F2F2"/>
          </w:tcPr>
          <w:p>
            <w:pPr>
              <w:spacing w:line="360" w:lineRule="exact"/>
              <w:jc w:val="center"/>
              <w:rPr>
                <w:lang w:val="en-US"/>
              </w:rPr>
            </w:pPr>
            <w:r>
              <w:rPr>
                <w:rFonts w:hint="eastAsia"/>
                <w:lang w:val="en-US"/>
              </w:rPr>
              <w:t>2.39</w:t>
            </w:r>
          </w:p>
        </w:tc>
        <w:tc>
          <w:tcPr>
            <w:tcW w:w="1512" w:type="dxa"/>
            <w:shd w:val="clear" w:color="auto" w:fill="F2F2F2"/>
          </w:tcPr>
          <w:p>
            <w:pPr>
              <w:spacing w:line="360" w:lineRule="exact"/>
              <w:jc w:val="center"/>
              <w:rPr>
                <w:lang w:val="en-US"/>
              </w:rPr>
            </w:pPr>
            <w:r>
              <w:rPr>
                <w:rFonts w:hint="eastAsia"/>
                <w:lang w:val="en-US"/>
              </w:rPr>
              <w:t>-17.80</w:t>
            </w:r>
          </w:p>
        </w:tc>
        <w:tc>
          <w:tcPr>
            <w:tcW w:w="1512" w:type="dxa"/>
            <w:shd w:val="clear" w:color="auto" w:fill="F2F2F2"/>
          </w:tcPr>
          <w:p>
            <w:pPr>
              <w:spacing w:line="360" w:lineRule="exact"/>
              <w:jc w:val="center"/>
              <w:rPr>
                <w:lang w:val="en-US"/>
              </w:rPr>
            </w:pPr>
            <w:r>
              <w:rPr>
                <w:rFonts w:hint="eastAsia"/>
                <w:lang w:val="en-US"/>
              </w:rPr>
              <w:t>1211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68.91</w:t>
            </w:r>
          </w:p>
        </w:tc>
        <w:tc>
          <w:tcPr>
            <w:tcW w:w="1512" w:type="dxa"/>
          </w:tcPr>
          <w:p>
            <w:pPr>
              <w:spacing w:line="360" w:lineRule="exact"/>
              <w:jc w:val="center"/>
              <w:rPr>
                <w:lang w:val="en-US"/>
              </w:rPr>
            </w:pPr>
            <w:r>
              <w:rPr>
                <w:rFonts w:hint="eastAsia"/>
                <w:lang w:val="en-US"/>
              </w:rPr>
              <w:t>2.38</w:t>
            </w:r>
          </w:p>
        </w:tc>
        <w:tc>
          <w:tcPr>
            <w:tcW w:w="1512" w:type="dxa"/>
          </w:tcPr>
          <w:p>
            <w:pPr>
              <w:spacing w:line="360" w:lineRule="exact"/>
              <w:jc w:val="center"/>
              <w:rPr>
                <w:lang w:val="en-US"/>
              </w:rPr>
            </w:pPr>
            <w:r>
              <w:rPr>
                <w:rFonts w:hint="eastAsia"/>
                <w:lang w:val="en-US"/>
              </w:rPr>
              <w:t>-15.99</w:t>
            </w:r>
          </w:p>
        </w:tc>
        <w:tc>
          <w:tcPr>
            <w:tcW w:w="1512" w:type="dxa"/>
          </w:tcPr>
          <w:p>
            <w:pPr>
              <w:spacing w:line="360" w:lineRule="exact"/>
              <w:jc w:val="center"/>
              <w:rPr>
                <w:lang w:val="en-US"/>
              </w:rPr>
            </w:pPr>
            <w:r>
              <w:rPr>
                <w:rFonts w:hint="eastAsia"/>
                <w:lang w:val="en-US"/>
              </w:rPr>
              <w:t>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68.56</w:t>
            </w:r>
          </w:p>
        </w:tc>
        <w:tc>
          <w:tcPr>
            <w:tcW w:w="1512" w:type="dxa"/>
            <w:shd w:val="clear" w:color="auto" w:fill="F2F2F2"/>
          </w:tcPr>
          <w:p>
            <w:pPr>
              <w:spacing w:line="360" w:lineRule="exact"/>
              <w:jc w:val="center"/>
              <w:rPr>
                <w:lang w:val="en-US"/>
              </w:rPr>
            </w:pPr>
            <w:r>
              <w:rPr>
                <w:rFonts w:hint="eastAsia"/>
                <w:lang w:val="en-US"/>
              </w:rPr>
              <w:t>2.36</w:t>
            </w:r>
          </w:p>
        </w:tc>
        <w:tc>
          <w:tcPr>
            <w:tcW w:w="1512" w:type="dxa"/>
            <w:shd w:val="clear" w:color="auto" w:fill="F2F2F2"/>
          </w:tcPr>
          <w:p>
            <w:pPr>
              <w:spacing w:line="360" w:lineRule="exact"/>
              <w:jc w:val="center"/>
              <w:rPr>
                <w:lang w:val="en-US"/>
              </w:rPr>
            </w:pPr>
            <w:r>
              <w:rPr>
                <w:rFonts w:hint="eastAsia"/>
                <w:lang w:val="en-US"/>
              </w:rPr>
              <w:t>-14.12</w:t>
            </w:r>
          </w:p>
        </w:tc>
        <w:tc>
          <w:tcPr>
            <w:tcW w:w="1512" w:type="dxa"/>
            <w:shd w:val="clear" w:color="auto" w:fill="F2F2F2"/>
          </w:tcPr>
          <w:p>
            <w:pPr>
              <w:spacing w:line="360" w:lineRule="exact"/>
              <w:jc w:val="center"/>
              <w:rPr>
                <w:lang w:val="en-US"/>
              </w:rPr>
            </w:pPr>
            <w:r>
              <w:rPr>
                <w:rFonts w:hint="eastAsia"/>
                <w:lang w:val="en-US"/>
              </w:rPr>
              <w:t>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68.22</w:t>
            </w:r>
          </w:p>
        </w:tc>
        <w:tc>
          <w:tcPr>
            <w:tcW w:w="1512" w:type="dxa"/>
          </w:tcPr>
          <w:p>
            <w:pPr>
              <w:spacing w:line="360" w:lineRule="exact"/>
              <w:jc w:val="center"/>
              <w:rPr>
                <w:lang w:val="en-US"/>
              </w:rPr>
            </w:pPr>
            <w:r>
              <w:rPr>
                <w:rFonts w:hint="eastAsia"/>
                <w:lang w:val="en-US"/>
              </w:rPr>
              <w:t>2.35</w:t>
            </w:r>
          </w:p>
        </w:tc>
        <w:tc>
          <w:tcPr>
            <w:tcW w:w="1512" w:type="dxa"/>
          </w:tcPr>
          <w:p>
            <w:pPr>
              <w:spacing w:line="360" w:lineRule="exact"/>
              <w:jc w:val="center"/>
              <w:rPr>
                <w:lang w:val="en-US"/>
              </w:rPr>
            </w:pPr>
            <w:r>
              <w:rPr>
                <w:rFonts w:hint="eastAsia"/>
                <w:lang w:val="en-US"/>
              </w:rPr>
              <w:t>-12.18</w:t>
            </w:r>
          </w:p>
        </w:tc>
        <w:tc>
          <w:tcPr>
            <w:tcW w:w="1512" w:type="dxa"/>
          </w:tcPr>
          <w:p>
            <w:pPr>
              <w:spacing w:line="360" w:lineRule="exact"/>
              <w:jc w:val="center"/>
              <w:rPr>
                <w:lang w:val="en-US"/>
              </w:rPr>
            </w:pPr>
            <w:r>
              <w:rPr>
                <w:rFonts w:hint="eastAsia"/>
                <w:lang w:val="en-US"/>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67.88</w:t>
            </w:r>
          </w:p>
        </w:tc>
        <w:tc>
          <w:tcPr>
            <w:tcW w:w="1512" w:type="dxa"/>
            <w:shd w:val="clear" w:color="auto" w:fill="F2F2F2"/>
          </w:tcPr>
          <w:p>
            <w:pPr>
              <w:spacing w:line="360" w:lineRule="exact"/>
              <w:jc w:val="center"/>
              <w:rPr>
                <w:lang w:val="en-US"/>
              </w:rPr>
            </w:pPr>
            <w:r>
              <w:rPr>
                <w:rFonts w:hint="eastAsia"/>
                <w:lang w:val="en-US"/>
              </w:rPr>
              <w:t>2.34</w:t>
            </w:r>
          </w:p>
        </w:tc>
        <w:tc>
          <w:tcPr>
            <w:tcW w:w="1512" w:type="dxa"/>
            <w:shd w:val="clear" w:color="auto" w:fill="F2F2F2"/>
          </w:tcPr>
          <w:p>
            <w:pPr>
              <w:spacing w:line="360" w:lineRule="exact"/>
              <w:jc w:val="center"/>
              <w:rPr>
                <w:lang w:val="en-US"/>
              </w:rPr>
            </w:pPr>
            <w:r>
              <w:rPr>
                <w:rFonts w:hint="eastAsia"/>
                <w:lang w:val="en-US"/>
              </w:rPr>
              <w:t>-10.17</w:t>
            </w:r>
          </w:p>
        </w:tc>
        <w:tc>
          <w:tcPr>
            <w:tcW w:w="1512" w:type="dxa"/>
            <w:shd w:val="clear" w:color="auto" w:fill="F2F2F2"/>
          </w:tcPr>
          <w:p>
            <w:pPr>
              <w:spacing w:line="360" w:lineRule="exact"/>
              <w:jc w:val="center"/>
              <w:rPr>
                <w:lang w:val="en-US"/>
              </w:rPr>
            </w:pPr>
            <w:r>
              <w:rPr>
                <w:rFonts w:hint="eastAsia"/>
                <w:lang w:val="en-US"/>
              </w:rPr>
              <w:t>1187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67.54</w:t>
            </w:r>
          </w:p>
        </w:tc>
        <w:tc>
          <w:tcPr>
            <w:tcW w:w="1512" w:type="dxa"/>
          </w:tcPr>
          <w:p>
            <w:pPr>
              <w:spacing w:line="360" w:lineRule="exact"/>
              <w:jc w:val="center"/>
              <w:rPr>
                <w:lang w:val="en-US"/>
              </w:rPr>
            </w:pPr>
            <w:r>
              <w:rPr>
                <w:rFonts w:hint="eastAsia"/>
                <w:lang w:val="en-US"/>
              </w:rPr>
              <w:t>2.33</w:t>
            </w:r>
          </w:p>
        </w:tc>
        <w:tc>
          <w:tcPr>
            <w:tcW w:w="1512" w:type="dxa"/>
          </w:tcPr>
          <w:p>
            <w:pPr>
              <w:spacing w:line="360" w:lineRule="exact"/>
              <w:jc w:val="center"/>
              <w:rPr>
                <w:lang w:val="en-US"/>
              </w:rPr>
            </w:pPr>
            <w:r>
              <w:rPr>
                <w:rFonts w:hint="eastAsia"/>
                <w:lang w:val="en-US"/>
              </w:rPr>
              <w:t>-8.13</w:t>
            </w:r>
          </w:p>
        </w:tc>
        <w:tc>
          <w:tcPr>
            <w:tcW w:w="1512" w:type="dxa"/>
          </w:tcPr>
          <w:p>
            <w:pPr>
              <w:spacing w:line="360" w:lineRule="exact"/>
              <w:jc w:val="center"/>
              <w:rPr>
                <w:lang w:val="en-US"/>
              </w:rPr>
            </w:pPr>
            <w:r>
              <w:rPr>
                <w:rFonts w:hint="eastAsia"/>
                <w:lang w:val="en-US"/>
              </w:rPr>
              <w:t>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67.20</w:t>
            </w:r>
          </w:p>
        </w:tc>
        <w:tc>
          <w:tcPr>
            <w:tcW w:w="1512" w:type="dxa"/>
            <w:shd w:val="clear" w:color="auto" w:fill="F2F2F2"/>
          </w:tcPr>
          <w:p>
            <w:pPr>
              <w:spacing w:line="360" w:lineRule="exact"/>
              <w:jc w:val="center"/>
              <w:rPr>
                <w:lang w:val="en-US"/>
              </w:rPr>
            </w:pPr>
            <w:r>
              <w:rPr>
                <w:rFonts w:hint="eastAsia"/>
                <w:lang w:val="en-US"/>
              </w:rPr>
              <w:t>2.32</w:t>
            </w:r>
          </w:p>
        </w:tc>
        <w:tc>
          <w:tcPr>
            <w:tcW w:w="1512" w:type="dxa"/>
            <w:shd w:val="clear" w:color="auto" w:fill="F2F2F2"/>
          </w:tcPr>
          <w:p>
            <w:pPr>
              <w:spacing w:line="360" w:lineRule="exact"/>
              <w:jc w:val="center"/>
              <w:rPr>
                <w:lang w:val="en-US"/>
              </w:rPr>
            </w:pPr>
            <w:r>
              <w:rPr>
                <w:rFonts w:hint="eastAsia"/>
                <w:lang w:val="en-US"/>
              </w:rPr>
              <w:t>-6.10</w:t>
            </w:r>
          </w:p>
        </w:tc>
        <w:tc>
          <w:tcPr>
            <w:tcW w:w="1512" w:type="dxa"/>
            <w:shd w:val="clear" w:color="auto" w:fill="F2F2F2"/>
          </w:tcPr>
          <w:p>
            <w:pPr>
              <w:spacing w:line="360" w:lineRule="exact"/>
              <w:jc w:val="center"/>
              <w:rPr>
                <w:lang w:val="en-US"/>
              </w:rPr>
            </w:pPr>
            <w:r>
              <w:rPr>
                <w:rFonts w:hint="eastAsia"/>
                <w:lang w:val="en-US"/>
              </w:rPr>
              <w:t>1175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66.86</w:t>
            </w:r>
          </w:p>
        </w:tc>
        <w:tc>
          <w:tcPr>
            <w:tcW w:w="1512" w:type="dxa"/>
          </w:tcPr>
          <w:p>
            <w:pPr>
              <w:spacing w:line="360" w:lineRule="exact"/>
              <w:jc w:val="center"/>
              <w:rPr>
                <w:lang w:val="en-US"/>
              </w:rPr>
            </w:pPr>
            <w:r>
              <w:rPr>
                <w:rFonts w:hint="eastAsia"/>
                <w:lang w:val="en-US"/>
              </w:rPr>
              <w:t>2.30</w:t>
            </w:r>
          </w:p>
        </w:tc>
        <w:tc>
          <w:tcPr>
            <w:tcW w:w="1512" w:type="dxa"/>
          </w:tcPr>
          <w:p>
            <w:pPr>
              <w:spacing w:line="360" w:lineRule="exact"/>
              <w:jc w:val="center"/>
              <w:rPr>
                <w:lang w:val="en-US"/>
              </w:rPr>
            </w:pPr>
            <w:r>
              <w:rPr>
                <w:rFonts w:hint="eastAsia"/>
                <w:lang w:val="en-US"/>
              </w:rPr>
              <w:t>-4.08</w:t>
            </w:r>
          </w:p>
        </w:tc>
        <w:tc>
          <w:tcPr>
            <w:tcW w:w="1512" w:type="dxa"/>
          </w:tcPr>
          <w:p>
            <w:pPr>
              <w:spacing w:line="360" w:lineRule="exact"/>
              <w:jc w:val="center"/>
              <w:rPr>
                <w:lang w:val="en-US"/>
              </w:rPr>
            </w:pPr>
            <w:r>
              <w:rPr>
                <w:rFonts w:hint="eastAsia"/>
                <w:lang w:val="en-US"/>
              </w:rPr>
              <w:t>1169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66.53</w:t>
            </w:r>
          </w:p>
        </w:tc>
        <w:tc>
          <w:tcPr>
            <w:tcW w:w="1512" w:type="dxa"/>
            <w:shd w:val="clear" w:color="auto" w:fill="F2F2F2"/>
          </w:tcPr>
          <w:p>
            <w:pPr>
              <w:spacing w:line="360" w:lineRule="exact"/>
              <w:jc w:val="center"/>
              <w:rPr>
                <w:lang w:val="en-US"/>
              </w:rPr>
            </w:pPr>
            <w:r>
              <w:rPr>
                <w:rFonts w:hint="eastAsia"/>
                <w:lang w:val="en-US"/>
              </w:rPr>
              <w:t>2.29</w:t>
            </w:r>
          </w:p>
        </w:tc>
        <w:tc>
          <w:tcPr>
            <w:tcW w:w="1512" w:type="dxa"/>
            <w:shd w:val="clear" w:color="auto" w:fill="F2F2F2"/>
          </w:tcPr>
          <w:p>
            <w:pPr>
              <w:spacing w:line="360" w:lineRule="exact"/>
              <w:jc w:val="center"/>
              <w:rPr>
                <w:lang w:val="en-US"/>
              </w:rPr>
            </w:pPr>
            <w:r>
              <w:rPr>
                <w:rFonts w:hint="eastAsia"/>
                <w:lang w:val="en-US"/>
              </w:rPr>
              <w:t>-2.07</w:t>
            </w:r>
          </w:p>
        </w:tc>
        <w:tc>
          <w:tcPr>
            <w:tcW w:w="1512" w:type="dxa"/>
            <w:shd w:val="clear" w:color="auto" w:fill="F2F2F2"/>
          </w:tcPr>
          <w:p>
            <w:pPr>
              <w:spacing w:line="360" w:lineRule="exact"/>
              <w:jc w:val="center"/>
              <w:rPr>
                <w:lang w:val="en-US"/>
              </w:rPr>
            </w:pPr>
            <w:r>
              <w:rPr>
                <w:rFonts w:hint="eastAsia"/>
                <w:lang w:val="en-US"/>
              </w:rPr>
              <w:t>1163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66.20</w:t>
            </w:r>
          </w:p>
        </w:tc>
        <w:tc>
          <w:tcPr>
            <w:tcW w:w="1512" w:type="dxa"/>
          </w:tcPr>
          <w:p>
            <w:pPr>
              <w:spacing w:line="360" w:lineRule="exact"/>
              <w:jc w:val="center"/>
              <w:rPr>
                <w:lang w:val="en-US"/>
              </w:rPr>
            </w:pPr>
            <w:r>
              <w:rPr>
                <w:rFonts w:hint="eastAsia"/>
                <w:lang w:val="en-US"/>
              </w:rPr>
              <w:t>2.28</w:t>
            </w:r>
          </w:p>
        </w:tc>
        <w:tc>
          <w:tcPr>
            <w:tcW w:w="1512" w:type="dxa"/>
          </w:tcPr>
          <w:p>
            <w:pPr>
              <w:spacing w:line="360" w:lineRule="exact"/>
              <w:jc w:val="center"/>
              <w:rPr>
                <w:lang w:val="en-US"/>
              </w:rPr>
            </w:pPr>
            <w:r>
              <w:rPr>
                <w:rFonts w:hint="eastAsia"/>
                <w:lang w:val="en-US"/>
              </w:rPr>
              <w:t>-0.08</w:t>
            </w:r>
          </w:p>
        </w:tc>
        <w:tc>
          <w:tcPr>
            <w:tcW w:w="1512" w:type="dxa"/>
          </w:tcPr>
          <w:p>
            <w:pPr>
              <w:spacing w:line="360" w:lineRule="exact"/>
              <w:jc w:val="center"/>
              <w:rPr>
                <w:lang w:val="en-US"/>
              </w:rPr>
            </w:pPr>
            <w:r>
              <w:rPr>
                <w:rFonts w:hint="eastAsia"/>
                <w:lang w:val="en-US"/>
              </w:rPr>
              <w:t>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65.87</w:t>
            </w:r>
          </w:p>
        </w:tc>
        <w:tc>
          <w:tcPr>
            <w:tcW w:w="1512" w:type="dxa"/>
            <w:shd w:val="clear" w:color="auto" w:fill="F2F2F2"/>
          </w:tcPr>
          <w:p>
            <w:pPr>
              <w:spacing w:line="360" w:lineRule="exact"/>
              <w:jc w:val="center"/>
              <w:rPr>
                <w:lang w:val="en-US"/>
              </w:rPr>
            </w:pPr>
            <w:r>
              <w:rPr>
                <w:rFonts w:hint="eastAsia"/>
                <w:lang w:val="en-US"/>
              </w:rPr>
              <w:t>2.27</w:t>
            </w:r>
          </w:p>
        </w:tc>
        <w:tc>
          <w:tcPr>
            <w:tcW w:w="1512" w:type="dxa"/>
            <w:shd w:val="clear" w:color="auto" w:fill="F2F2F2"/>
          </w:tcPr>
          <w:p>
            <w:pPr>
              <w:spacing w:line="360" w:lineRule="exact"/>
              <w:jc w:val="center"/>
              <w:rPr>
                <w:lang w:val="en-US"/>
              </w:rPr>
            </w:pPr>
            <w:r>
              <w:rPr>
                <w:rFonts w:hint="eastAsia"/>
                <w:lang w:val="en-US"/>
              </w:rPr>
              <w:t>1.91</w:t>
            </w:r>
          </w:p>
        </w:tc>
        <w:tc>
          <w:tcPr>
            <w:tcW w:w="1512" w:type="dxa"/>
            <w:shd w:val="clear" w:color="auto" w:fill="F2F2F2"/>
          </w:tcPr>
          <w:p>
            <w:pPr>
              <w:spacing w:line="360" w:lineRule="exact"/>
              <w:jc w:val="center"/>
              <w:rPr>
                <w:lang w:val="en-US"/>
              </w:rPr>
            </w:pPr>
            <w:r>
              <w:rPr>
                <w:rFonts w:hint="eastAsia"/>
                <w:lang w:val="en-US"/>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65.54</w:t>
            </w:r>
          </w:p>
        </w:tc>
        <w:tc>
          <w:tcPr>
            <w:tcW w:w="1512" w:type="dxa"/>
          </w:tcPr>
          <w:p>
            <w:pPr>
              <w:spacing w:line="360" w:lineRule="exact"/>
              <w:jc w:val="center"/>
              <w:rPr>
                <w:lang w:val="en-US"/>
              </w:rPr>
            </w:pPr>
            <w:r>
              <w:rPr>
                <w:rFonts w:hint="eastAsia"/>
                <w:lang w:val="en-US"/>
              </w:rPr>
              <w:t>2.26</w:t>
            </w:r>
          </w:p>
        </w:tc>
        <w:tc>
          <w:tcPr>
            <w:tcW w:w="1512" w:type="dxa"/>
          </w:tcPr>
          <w:p>
            <w:pPr>
              <w:spacing w:line="360" w:lineRule="exact"/>
              <w:jc w:val="center"/>
              <w:rPr>
                <w:lang w:val="en-US"/>
              </w:rPr>
            </w:pPr>
            <w:r>
              <w:rPr>
                <w:rFonts w:hint="eastAsia"/>
                <w:lang w:val="en-US"/>
              </w:rPr>
              <w:t>3.88</w:t>
            </w:r>
          </w:p>
        </w:tc>
        <w:tc>
          <w:tcPr>
            <w:tcW w:w="1512" w:type="dxa"/>
          </w:tcPr>
          <w:p>
            <w:pPr>
              <w:spacing w:line="360" w:lineRule="exact"/>
              <w:jc w:val="center"/>
              <w:rPr>
                <w:lang w:val="en-US"/>
              </w:rPr>
            </w:pPr>
            <w:r>
              <w:rPr>
                <w:rFonts w:hint="eastAsia"/>
                <w:lang w:val="en-US"/>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65.21</w:t>
            </w:r>
          </w:p>
        </w:tc>
        <w:tc>
          <w:tcPr>
            <w:tcW w:w="1512" w:type="dxa"/>
            <w:shd w:val="clear" w:color="auto" w:fill="F2F2F2"/>
          </w:tcPr>
          <w:p>
            <w:pPr>
              <w:spacing w:line="360" w:lineRule="exact"/>
              <w:jc w:val="center"/>
              <w:rPr>
                <w:lang w:val="en-US"/>
              </w:rPr>
            </w:pPr>
            <w:r>
              <w:rPr>
                <w:rFonts w:hint="eastAsia"/>
                <w:lang w:val="en-US"/>
              </w:rPr>
              <w:t>2.25</w:t>
            </w:r>
          </w:p>
        </w:tc>
        <w:tc>
          <w:tcPr>
            <w:tcW w:w="1512" w:type="dxa"/>
            <w:shd w:val="clear" w:color="auto" w:fill="F2F2F2"/>
          </w:tcPr>
          <w:p>
            <w:pPr>
              <w:spacing w:line="360" w:lineRule="exact"/>
              <w:jc w:val="center"/>
              <w:rPr>
                <w:lang w:val="en-US"/>
              </w:rPr>
            </w:pPr>
            <w:r>
              <w:rPr>
                <w:rFonts w:hint="eastAsia"/>
                <w:lang w:val="en-US"/>
              </w:rPr>
              <w:t>5.84</w:t>
            </w:r>
          </w:p>
        </w:tc>
        <w:tc>
          <w:tcPr>
            <w:tcW w:w="1512" w:type="dxa"/>
            <w:shd w:val="clear" w:color="auto" w:fill="F2F2F2"/>
          </w:tcPr>
          <w:p>
            <w:pPr>
              <w:spacing w:line="360" w:lineRule="exact"/>
              <w:jc w:val="center"/>
              <w:rPr>
                <w:lang w:val="en-US"/>
              </w:rPr>
            </w:pPr>
            <w:r>
              <w:rPr>
                <w:rFonts w:hint="eastAsia"/>
                <w:lang w:val="en-US"/>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0.50%</w:t>
            </w:r>
          </w:p>
        </w:tc>
        <w:tc>
          <w:tcPr>
            <w:tcW w:w="1512" w:type="dxa"/>
          </w:tcPr>
          <w:p>
            <w:pPr>
              <w:spacing w:line="360" w:lineRule="exact"/>
              <w:jc w:val="center"/>
              <w:rPr>
                <w:lang w:val="en-US"/>
              </w:rPr>
            </w:pPr>
            <w:r>
              <w:rPr>
                <w:rFonts w:hint="eastAsia"/>
                <w:lang w:val="en-US"/>
              </w:rPr>
              <w:t>64.88</w:t>
            </w:r>
          </w:p>
        </w:tc>
        <w:tc>
          <w:tcPr>
            <w:tcW w:w="1512" w:type="dxa"/>
          </w:tcPr>
          <w:p>
            <w:pPr>
              <w:spacing w:line="360" w:lineRule="exact"/>
              <w:jc w:val="center"/>
              <w:rPr>
                <w:lang w:val="en-US"/>
              </w:rPr>
            </w:pPr>
            <w:r>
              <w:rPr>
                <w:rFonts w:hint="eastAsia"/>
                <w:lang w:val="en-US"/>
              </w:rPr>
              <w:t>2.24</w:t>
            </w:r>
          </w:p>
        </w:tc>
        <w:tc>
          <w:tcPr>
            <w:tcW w:w="1512" w:type="dxa"/>
          </w:tcPr>
          <w:p>
            <w:pPr>
              <w:spacing w:line="360" w:lineRule="exact"/>
              <w:jc w:val="center"/>
              <w:rPr>
                <w:lang w:val="en-US"/>
              </w:rPr>
            </w:pPr>
            <w:r>
              <w:rPr>
                <w:rFonts w:hint="eastAsia"/>
                <w:lang w:val="en-US"/>
              </w:rPr>
              <w:t>7.79</w:t>
            </w:r>
          </w:p>
        </w:tc>
        <w:tc>
          <w:tcPr>
            <w:tcW w:w="1512" w:type="dxa"/>
          </w:tcPr>
          <w:p>
            <w:pPr>
              <w:spacing w:line="360" w:lineRule="exact"/>
              <w:jc w:val="center"/>
              <w:rPr>
                <w:lang w:val="en-US"/>
              </w:rPr>
            </w:pPr>
            <w:r>
              <w:rPr>
                <w:rFonts w:hint="eastAsia"/>
                <w:lang w:val="en-US"/>
              </w:rPr>
              <w:t>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0.50%</w:t>
            </w:r>
          </w:p>
        </w:tc>
        <w:tc>
          <w:tcPr>
            <w:tcW w:w="1512" w:type="dxa"/>
            <w:shd w:val="clear" w:color="auto" w:fill="F2F2F2"/>
          </w:tcPr>
          <w:p>
            <w:pPr>
              <w:spacing w:line="360" w:lineRule="exact"/>
              <w:jc w:val="center"/>
              <w:rPr>
                <w:lang w:val="en-US"/>
              </w:rPr>
            </w:pPr>
            <w:r>
              <w:rPr>
                <w:rFonts w:hint="eastAsia"/>
                <w:lang w:val="en-US"/>
              </w:rPr>
              <w:t>64.56</w:t>
            </w:r>
          </w:p>
        </w:tc>
        <w:tc>
          <w:tcPr>
            <w:tcW w:w="1512" w:type="dxa"/>
            <w:shd w:val="clear" w:color="auto" w:fill="F2F2F2"/>
          </w:tcPr>
          <w:p>
            <w:pPr>
              <w:spacing w:line="360" w:lineRule="exact"/>
              <w:jc w:val="center"/>
              <w:rPr>
                <w:lang w:val="en-US"/>
              </w:rPr>
            </w:pPr>
            <w:r>
              <w:rPr>
                <w:rFonts w:hint="eastAsia"/>
                <w:lang w:val="en-US"/>
              </w:rPr>
              <w:t>2.23</w:t>
            </w:r>
          </w:p>
        </w:tc>
        <w:tc>
          <w:tcPr>
            <w:tcW w:w="1512" w:type="dxa"/>
            <w:shd w:val="clear" w:color="auto" w:fill="F2F2F2"/>
          </w:tcPr>
          <w:p>
            <w:pPr>
              <w:spacing w:line="360" w:lineRule="exact"/>
              <w:jc w:val="center"/>
              <w:rPr>
                <w:lang w:val="en-US"/>
              </w:rPr>
            </w:pPr>
            <w:r>
              <w:rPr>
                <w:rFonts w:hint="eastAsia"/>
                <w:lang w:val="en-US"/>
              </w:rPr>
              <w:t>9.73</w:t>
            </w:r>
          </w:p>
        </w:tc>
        <w:tc>
          <w:tcPr>
            <w:tcW w:w="1512" w:type="dxa"/>
            <w:shd w:val="clear" w:color="auto" w:fill="F2F2F2"/>
          </w:tcPr>
          <w:p>
            <w:pPr>
              <w:spacing w:line="360" w:lineRule="exact"/>
              <w:jc w:val="center"/>
              <w:rPr>
                <w:lang w:val="en-US"/>
              </w:rPr>
            </w:pPr>
            <w:r>
              <w:rPr>
                <w:rFonts w:hint="eastAsia"/>
                <w:lang w:val="en-US"/>
              </w:rPr>
              <w:t>1129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1715.14MWh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59.16万元</w:t>
            </w:r>
          </w:p>
        </w:tc>
      </w:tr>
      <w:bookmarkEnd w:id="83"/>
    </w:tbl>
    <w:p>
      <w:pPr>
        <w:pStyle w:val="3"/>
        <w:rPr>
          <w:lang w:val="en-US"/>
        </w:rPr>
      </w:pPr>
    </w:p>
    <w:p>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spacing w:line="360" w:lineRule="exact"/>
            </w:pPr>
            <w:r>
              <w:rPr>
                <w:rFonts w:hint="eastAsia"/>
              </w:rPr>
              <w:t>上网</w:t>
            </w:r>
          </w:p>
        </w:tc>
        <w:tc>
          <w:tcPr>
            <w:tcW w:w="386" w:type="pct"/>
          </w:tcPr>
          <w:p>
            <w:pPr>
              <w:spacing w:line="360" w:lineRule="exact"/>
            </w:pPr>
            <w:r>
              <w:t>0.35</w:t>
            </w:r>
          </w:p>
        </w:tc>
        <w:tc>
          <w:tcPr>
            <w:tcW w:w="381" w:type="pct"/>
          </w:tcPr>
          <w:p>
            <w:pPr>
              <w:spacing w:line="360" w:lineRule="exact"/>
            </w:pPr>
            <w:r>
              <w:t>0.35</w:t>
            </w:r>
          </w:p>
        </w:tc>
        <w:tc>
          <w:tcPr>
            <w:tcW w:w="427"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2" w:type="pct"/>
          </w:tcPr>
          <w:p>
            <w:pPr>
              <w:spacing w:line="360" w:lineRule="exact"/>
            </w:pPr>
            <w: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pPr>
              <w:spacing w:line="360" w:lineRule="exact"/>
            </w:pPr>
            <w:r>
              <w:rPr>
                <w:rFonts w:hint="eastAsia"/>
              </w:rPr>
              <w:t>市网</w:t>
            </w:r>
          </w:p>
        </w:tc>
        <w:tc>
          <w:tcPr>
            <w:tcW w:w="386" w:type="pct"/>
            <w:shd w:val="clear" w:color="auto" w:fill="F2F2F2"/>
          </w:tcPr>
          <w:p>
            <w:pPr>
              <w:spacing w:line="360" w:lineRule="exact"/>
            </w:pPr>
            <w:r>
              <w:t>0.50</w:t>
            </w:r>
          </w:p>
        </w:tc>
        <w:tc>
          <w:tcPr>
            <w:tcW w:w="381" w:type="pct"/>
            <w:shd w:val="clear" w:color="auto" w:fill="F2F2F2"/>
          </w:tcPr>
          <w:p>
            <w:pPr>
              <w:spacing w:line="360" w:lineRule="exact"/>
            </w:pPr>
            <w:r>
              <w:t>0.90</w:t>
            </w:r>
          </w:p>
        </w:tc>
        <w:tc>
          <w:tcPr>
            <w:tcW w:w="427" w:type="pct"/>
            <w:shd w:val="clear" w:color="auto" w:fill="F2F2F2"/>
          </w:tcPr>
          <w:p>
            <w:pPr>
              <w:spacing w:line="360" w:lineRule="exact"/>
            </w:pPr>
            <w:r>
              <w:t>0.80</w:t>
            </w:r>
          </w:p>
        </w:tc>
        <w:tc>
          <w:tcPr>
            <w:tcW w:w="380" w:type="pct"/>
            <w:shd w:val="clear" w:color="auto" w:fill="F2F2F2"/>
          </w:tcPr>
          <w:p>
            <w:pPr>
              <w:spacing w:line="360" w:lineRule="exact"/>
            </w:pPr>
            <w:r>
              <w:t>0.90</w:t>
            </w:r>
          </w:p>
        </w:tc>
        <w:tc>
          <w:tcPr>
            <w:tcW w:w="380" w:type="pct"/>
            <w:shd w:val="clear" w:color="auto" w:fill="F2F2F2"/>
          </w:tcPr>
          <w:p>
            <w:pPr>
              <w:spacing w:line="360" w:lineRule="exact"/>
            </w:pPr>
            <w:r>
              <w:t>0.80</w:t>
            </w:r>
          </w:p>
        </w:tc>
        <w:tc>
          <w:tcPr>
            <w:tcW w:w="380" w:type="pct"/>
            <w:shd w:val="clear" w:color="auto" w:fill="F2F2F2"/>
          </w:tcPr>
          <w:p>
            <w:pPr>
              <w:spacing w:line="360" w:lineRule="exact"/>
            </w:pPr>
            <w:r>
              <w:t>0.90</w:t>
            </w:r>
          </w:p>
        </w:tc>
        <w:tc>
          <w:tcPr>
            <w:tcW w:w="380" w:type="pct"/>
            <w:shd w:val="clear" w:color="auto" w:fill="F2F2F2"/>
          </w:tcPr>
          <w:p>
            <w:pPr>
              <w:spacing w:line="360" w:lineRule="exact"/>
            </w:pPr>
            <w:r>
              <w:t>0.80</w:t>
            </w:r>
          </w:p>
        </w:tc>
        <w:tc>
          <w:tcPr>
            <w:tcW w:w="381" w:type="pct"/>
            <w:shd w:val="clear" w:color="auto" w:fill="F2F2F2"/>
          </w:tcPr>
          <w:p>
            <w:pPr>
              <w:spacing w:line="360" w:lineRule="exact"/>
            </w:pPr>
            <w:r>
              <w:t>0.90</w:t>
            </w:r>
          </w:p>
        </w:tc>
        <w:tc>
          <w:tcPr>
            <w:tcW w:w="381" w:type="pct"/>
            <w:shd w:val="clear" w:color="auto" w:fill="F2F2F2"/>
          </w:tcPr>
          <w:p>
            <w:pPr>
              <w:spacing w:line="360" w:lineRule="exact"/>
            </w:pPr>
            <w:r>
              <w:t>1.00</w:t>
            </w:r>
          </w:p>
        </w:tc>
        <w:tc>
          <w:tcPr>
            <w:tcW w:w="381" w:type="pct"/>
            <w:shd w:val="clear" w:color="auto" w:fill="F2F2F2"/>
          </w:tcPr>
          <w:p>
            <w:pPr>
              <w:spacing w:line="360" w:lineRule="exact"/>
            </w:pPr>
            <w:r>
              <w:t>1.20</w:t>
            </w:r>
          </w:p>
        </w:tc>
        <w:tc>
          <w:tcPr>
            <w:tcW w:w="381" w:type="pct"/>
            <w:shd w:val="clear" w:color="auto" w:fill="F2F2F2"/>
          </w:tcPr>
          <w:p>
            <w:pPr>
              <w:spacing w:line="360" w:lineRule="exact"/>
            </w:pPr>
            <w:r>
              <w:t>1.00</w:t>
            </w:r>
          </w:p>
        </w:tc>
        <w:tc>
          <w:tcPr>
            <w:tcW w:w="382" w:type="pct"/>
            <w:shd w:val="clear" w:color="auto" w:fill="F2F2F2"/>
          </w:tcPr>
          <w:p>
            <w:pPr>
              <w:spacing w:line="360" w:lineRule="exact"/>
            </w:pP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spacing w:line="360" w:lineRule="exact"/>
            </w:pPr>
            <w:r>
              <w:rPr>
                <w:rFonts w:hint="eastAsia"/>
              </w:rPr>
              <w:t>上网</w:t>
            </w:r>
          </w:p>
        </w:tc>
        <w:tc>
          <w:tcPr>
            <w:tcW w:w="386" w:type="pct"/>
          </w:tcPr>
          <w:p>
            <w:pPr>
              <w:spacing w:line="360" w:lineRule="exact"/>
            </w:pPr>
            <w:r>
              <w:t>0.35</w:t>
            </w:r>
          </w:p>
        </w:tc>
        <w:tc>
          <w:tcPr>
            <w:tcW w:w="381" w:type="pct"/>
          </w:tcPr>
          <w:p>
            <w:pPr>
              <w:spacing w:line="360" w:lineRule="exact"/>
            </w:pPr>
            <w:r>
              <w:t>0.35</w:t>
            </w:r>
          </w:p>
        </w:tc>
        <w:tc>
          <w:tcPr>
            <w:tcW w:w="427"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2" w:type="pct"/>
          </w:tcPr>
          <w:p>
            <w:pPr>
              <w:spacing w:line="360" w:lineRule="exact"/>
            </w:pPr>
            <w: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pPr>
              <w:spacing w:line="360" w:lineRule="exact"/>
            </w:pPr>
            <w:r>
              <w:rPr>
                <w:rFonts w:hint="eastAsia"/>
              </w:rPr>
              <w:t>市网</w:t>
            </w:r>
          </w:p>
        </w:tc>
        <w:tc>
          <w:tcPr>
            <w:tcW w:w="386" w:type="pct"/>
            <w:shd w:val="clear" w:color="auto" w:fill="F2F2F2"/>
          </w:tcPr>
          <w:p>
            <w:pPr>
              <w:spacing w:line="360" w:lineRule="exact"/>
            </w:pPr>
            <w:r>
              <w:t>1.00</w:t>
            </w:r>
          </w:p>
        </w:tc>
        <w:tc>
          <w:tcPr>
            <w:tcW w:w="381" w:type="pct"/>
            <w:shd w:val="clear" w:color="auto" w:fill="F2F2F2"/>
          </w:tcPr>
          <w:p>
            <w:pPr>
              <w:spacing w:line="360" w:lineRule="exact"/>
            </w:pPr>
            <w:r>
              <w:t>1.20</w:t>
            </w:r>
          </w:p>
        </w:tc>
        <w:tc>
          <w:tcPr>
            <w:tcW w:w="427" w:type="pct"/>
            <w:shd w:val="clear" w:color="auto" w:fill="F2F2F2"/>
          </w:tcPr>
          <w:p>
            <w:pPr>
              <w:spacing w:line="360" w:lineRule="exact"/>
            </w:pPr>
            <w:r>
              <w:t>1.00</w:t>
            </w:r>
          </w:p>
        </w:tc>
        <w:tc>
          <w:tcPr>
            <w:tcW w:w="380" w:type="pct"/>
            <w:shd w:val="clear" w:color="auto" w:fill="F2F2F2"/>
          </w:tcPr>
          <w:p>
            <w:pPr>
              <w:spacing w:line="360" w:lineRule="exact"/>
            </w:pPr>
            <w:r>
              <w:t>1.20</w:t>
            </w:r>
          </w:p>
        </w:tc>
        <w:tc>
          <w:tcPr>
            <w:tcW w:w="380" w:type="pct"/>
            <w:shd w:val="clear" w:color="auto" w:fill="F2F2F2"/>
          </w:tcPr>
          <w:p>
            <w:pPr>
              <w:spacing w:line="360" w:lineRule="exact"/>
            </w:pPr>
            <w:r>
              <w:t>1.00</w:t>
            </w:r>
          </w:p>
        </w:tc>
        <w:tc>
          <w:tcPr>
            <w:tcW w:w="380" w:type="pct"/>
            <w:shd w:val="clear" w:color="auto" w:fill="F2F2F2"/>
          </w:tcPr>
          <w:p>
            <w:pPr>
              <w:spacing w:line="360" w:lineRule="exact"/>
            </w:pPr>
            <w:r>
              <w:t>1.20</w:t>
            </w:r>
          </w:p>
        </w:tc>
        <w:tc>
          <w:tcPr>
            <w:tcW w:w="380" w:type="pct"/>
            <w:shd w:val="clear" w:color="auto" w:fill="F2F2F2"/>
          </w:tcPr>
          <w:p>
            <w:pPr>
              <w:spacing w:line="360" w:lineRule="exact"/>
            </w:pPr>
            <w:r>
              <w:t>1.00</w:t>
            </w:r>
          </w:p>
        </w:tc>
        <w:tc>
          <w:tcPr>
            <w:tcW w:w="381" w:type="pct"/>
            <w:shd w:val="clear" w:color="auto" w:fill="F2F2F2"/>
          </w:tcPr>
          <w:p>
            <w:pPr>
              <w:spacing w:line="360" w:lineRule="exact"/>
            </w:pPr>
            <w:r>
              <w:t>1.20</w:t>
            </w:r>
          </w:p>
        </w:tc>
        <w:tc>
          <w:tcPr>
            <w:tcW w:w="381" w:type="pct"/>
            <w:shd w:val="clear" w:color="auto" w:fill="F2F2F2"/>
          </w:tcPr>
          <w:p>
            <w:pPr>
              <w:spacing w:line="360" w:lineRule="exact"/>
            </w:pPr>
            <w:r>
              <w:t>0.50</w:t>
            </w:r>
          </w:p>
        </w:tc>
        <w:tc>
          <w:tcPr>
            <w:tcW w:w="381" w:type="pct"/>
            <w:shd w:val="clear" w:color="auto" w:fill="F2F2F2"/>
          </w:tcPr>
          <w:p>
            <w:pPr>
              <w:spacing w:line="360" w:lineRule="exact"/>
            </w:pPr>
            <w:r>
              <w:t>0.60</w:t>
            </w:r>
          </w:p>
        </w:tc>
        <w:tc>
          <w:tcPr>
            <w:tcW w:w="381" w:type="pct"/>
            <w:shd w:val="clear" w:color="auto" w:fill="F2F2F2"/>
          </w:tcPr>
          <w:p>
            <w:pPr>
              <w:spacing w:line="360" w:lineRule="exact"/>
            </w:pPr>
            <w:r>
              <w:t>0.50</w:t>
            </w:r>
          </w:p>
        </w:tc>
        <w:tc>
          <w:tcPr>
            <w:tcW w:w="382" w:type="pct"/>
            <w:shd w:val="clear" w:color="auto" w:fill="F2F2F2"/>
          </w:tcPr>
          <w:p>
            <w:pPr>
              <w:spacing w:line="360" w:lineRule="exact"/>
            </w:pPr>
            <w:r>
              <w:t>0.60</w:t>
            </w:r>
          </w:p>
        </w:tc>
      </w:tr>
      <w:bookmarkEnd w:id="85"/>
    </w:tbl>
    <w:p>
      <w:pPr>
        <w:rPr>
          <w:rFonts w:ascii="黑体" w:hAnsi="黑体" w:eastAsia="黑体" w:cs="宋体"/>
          <w:bCs/>
          <w:color w:val="000000"/>
          <w:szCs w:val="18"/>
          <w:lang w:val="en-US"/>
        </w:rPr>
      </w:pPr>
    </w:p>
    <w:p>
      <w:pPr>
        <w:pStyle w:val="2"/>
      </w:pPr>
      <w:bookmarkStart w:id="86" w:name="_Toc23205"/>
      <w:r>
        <w:rPr>
          <w:rFonts w:hint="eastAsia"/>
        </w:rPr>
        <w:t>减排效益分析</w:t>
      </w:r>
      <w:bookmarkEnd w:id="86"/>
    </w:p>
    <w:p>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68.61</w:t>
            </w:r>
          </w:p>
        </w:tc>
        <w:tc>
          <w:tcPr>
            <w:tcW w:w="1534" w:type="dxa"/>
            <w:shd w:val="clear" w:color="auto" w:fill="FFFFFF" w:themeFill="background1"/>
          </w:tcPr>
          <w:p>
            <w:pPr>
              <w:spacing w:line="360" w:lineRule="exact"/>
              <w:jc w:val="center"/>
              <w:rPr>
                <w:bCs/>
                <w:lang w:val="en-US"/>
              </w:rPr>
            </w:pPr>
            <w:r>
              <w:rPr>
                <w:bCs/>
                <w:lang w:val="en-US"/>
              </w:rPr>
              <w:t>1715.14</w:t>
            </w:r>
          </w:p>
        </w:tc>
        <w:tc>
          <w:tcPr>
            <w:tcW w:w="1534" w:type="dxa"/>
            <w:shd w:val="clear" w:color="auto" w:fill="FFFFFF" w:themeFill="background1"/>
          </w:tcPr>
          <w:p>
            <w:pPr>
              <w:spacing w:line="360" w:lineRule="exact"/>
              <w:jc w:val="center"/>
              <w:rPr>
                <w:bCs/>
                <w:lang w:val="en-US"/>
              </w:rPr>
            </w:pPr>
            <w:r>
              <w:rPr>
                <w:rFonts w:hint="eastAsia"/>
                <w:bCs/>
                <w:lang w:val="en-US"/>
              </w:rPr>
              <w:t>M</w:t>
            </w:r>
            <w:r>
              <w:rPr>
                <w:bCs/>
                <w:lang w:val="en-US"/>
              </w:rPr>
              <w:t>W</w:t>
            </w:r>
            <w:r>
              <w:rPr>
                <w:rFonts w:hint="eastAsia"/>
                <w:bCs/>
                <w:lang w:val="en-US"/>
              </w:rPr>
              <w:t>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22.64</w:t>
            </w:r>
          </w:p>
        </w:tc>
        <w:tc>
          <w:tcPr>
            <w:tcW w:w="1534" w:type="dxa"/>
            <w:shd w:val="clear" w:color="auto" w:fill="F1F1F1" w:themeFill="background1" w:themeFillShade="F2"/>
          </w:tcPr>
          <w:p>
            <w:pPr>
              <w:spacing w:line="360" w:lineRule="exact"/>
              <w:jc w:val="center"/>
              <w:rPr>
                <w:bCs/>
                <w:lang w:val="en-US"/>
              </w:rPr>
            </w:pPr>
            <w:r>
              <w:rPr>
                <w:bCs/>
                <w:lang w:val="en-US"/>
              </w:rPr>
              <w:t>566.00</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pPr>
              <w:spacing w:line="360" w:lineRule="exact"/>
              <w:jc w:val="center"/>
              <w:rPr>
                <w:bCs/>
                <w:lang w:val="en-US"/>
              </w:rPr>
            </w:pPr>
            <w:r>
              <w:rPr>
                <w:bCs/>
                <w:lang w:val="en-US"/>
              </w:rPr>
              <w:t>g/kWh</w:t>
            </w:r>
          </w:p>
        </w:tc>
        <w:tc>
          <w:tcPr>
            <w:tcW w:w="1534" w:type="dxa"/>
            <w:shd w:val="clear" w:color="auto" w:fill="FFFFFF" w:themeFill="background1"/>
          </w:tcPr>
          <w:p>
            <w:pPr>
              <w:spacing w:line="360" w:lineRule="exact"/>
              <w:jc w:val="center"/>
              <w:rPr>
                <w:bCs/>
                <w:lang w:val="en-US"/>
              </w:rPr>
            </w:pPr>
            <w:r>
              <w:rPr>
                <w:bCs/>
                <w:lang w:val="en-US"/>
              </w:rPr>
              <w:t>1.17</w:t>
            </w:r>
          </w:p>
        </w:tc>
        <w:tc>
          <w:tcPr>
            <w:tcW w:w="1534" w:type="dxa"/>
            <w:shd w:val="clear" w:color="auto" w:fill="FFFFFF" w:themeFill="background1"/>
          </w:tcPr>
          <w:p>
            <w:pPr>
              <w:spacing w:line="360" w:lineRule="exact"/>
              <w:jc w:val="center"/>
              <w:rPr>
                <w:bCs/>
                <w:lang w:val="en-US"/>
              </w:rPr>
            </w:pPr>
            <w:r>
              <w:rPr>
                <w:bCs/>
                <w:lang w:val="en-US"/>
              </w:rPr>
              <w:t>29.16</w:t>
            </w:r>
          </w:p>
        </w:tc>
        <w:tc>
          <w:tcPr>
            <w:tcW w:w="1534" w:type="dxa"/>
            <w:shd w:val="clear" w:color="auto" w:fill="FFFFFF" w:themeFill="background1"/>
          </w:tcPr>
          <w:p>
            <w:pPr>
              <w:spacing w:line="360" w:lineRule="exact"/>
              <w:jc w:val="center"/>
              <w:rPr>
                <w:bCs/>
                <w:lang w:val="en-US"/>
              </w:rPr>
            </w:pPr>
            <w:r>
              <w:rPr>
                <w:rFonts w:hint="eastAsia"/>
                <w:bCs/>
                <w:lang w:val="en-US"/>
              </w:rPr>
              <w:t>千克</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37.12</w:t>
            </w:r>
          </w:p>
        </w:tc>
        <w:tc>
          <w:tcPr>
            <w:tcW w:w="1534" w:type="dxa"/>
            <w:shd w:val="clear" w:color="auto" w:fill="F1F1F1" w:themeFill="background1" w:themeFillShade="F2"/>
          </w:tcPr>
          <w:p>
            <w:pPr>
              <w:spacing w:line="360" w:lineRule="exact"/>
              <w:jc w:val="center"/>
              <w:rPr>
                <w:bCs/>
                <w:lang w:val="en-US"/>
              </w:rPr>
            </w:pPr>
            <w:r>
              <w:rPr>
                <w:bCs/>
                <w:lang w:val="en-US"/>
              </w:rPr>
              <w:t>927.89</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pPr>
              <w:spacing w:line="360" w:lineRule="exact"/>
              <w:jc w:val="center"/>
              <w:rPr>
                <w:bCs/>
                <w:lang w:val="en-US"/>
              </w:rPr>
            </w:pPr>
            <w:r>
              <w:rPr>
                <w:bCs/>
                <w:lang w:val="en-US"/>
              </w:rPr>
              <w:t>g/kWh</w:t>
            </w:r>
          </w:p>
        </w:tc>
        <w:tc>
          <w:tcPr>
            <w:tcW w:w="1534" w:type="dxa"/>
            <w:shd w:val="clear" w:color="auto" w:fill="FFFFFF" w:themeFill="background1"/>
          </w:tcPr>
          <w:p>
            <w:pPr>
              <w:spacing w:line="360" w:lineRule="exact"/>
              <w:jc w:val="center"/>
              <w:rPr>
                <w:bCs/>
                <w:lang w:val="en-US"/>
              </w:rPr>
            </w:pPr>
            <w:r>
              <w:rPr>
                <w:bCs/>
                <w:lang w:val="en-US"/>
              </w:rPr>
              <w:t>5.69</w:t>
            </w:r>
          </w:p>
        </w:tc>
        <w:tc>
          <w:tcPr>
            <w:tcW w:w="1534" w:type="dxa"/>
            <w:shd w:val="clear" w:color="auto" w:fill="FFFFFF" w:themeFill="background1"/>
          </w:tcPr>
          <w:p>
            <w:pPr>
              <w:spacing w:line="360" w:lineRule="exact"/>
              <w:jc w:val="center"/>
              <w:rPr>
                <w:bCs/>
                <w:lang w:val="en-US"/>
              </w:rPr>
            </w:pPr>
            <w:r>
              <w:rPr>
                <w:bCs/>
                <w:lang w:val="en-US"/>
              </w:rPr>
              <w:t>142.36</w:t>
            </w:r>
          </w:p>
        </w:tc>
        <w:tc>
          <w:tcPr>
            <w:tcW w:w="1534" w:type="dxa"/>
            <w:shd w:val="clear" w:color="auto" w:fill="FFFFFF" w:themeFill="background1"/>
          </w:tcPr>
          <w:p>
            <w:pPr>
              <w:spacing w:line="360" w:lineRule="exact"/>
              <w:jc w:val="center"/>
              <w:rPr>
                <w:bCs/>
                <w:lang w:val="en-US"/>
              </w:rPr>
            </w:pPr>
            <w:r>
              <w:rPr>
                <w:rFonts w:hint="eastAsia"/>
                <w:bCs/>
                <w:lang w:val="en-US"/>
              </w:rPr>
              <w:t>千克</w:t>
            </w:r>
          </w:p>
        </w:tc>
      </w:tr>
      <w:tr>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pPr>
              <w:spacing w:line="360" w:lineRule="exact"/>
              <w:jc w:val="center"/>
              <w:rPr>
                <w:bCs/>
                <w:lang w:val="en-US"/>
              </w:rPr>
            </w:pPr>
            <w:r>
              <w:rPr>
                <w:bCs/>
                <w:lang w:val="en-US"/>
              </w:rPr>
              <w:t>g/kWh</w:t>
            </w:r>
          </w:p>
        </w:tc>
        <w:tc>
          <w:tcPr>
            <w:tcW w:w="1534" w:type="dxa"/>
            <w:shd w:val="clear" w:color="auto" w:fill="F1F1F1" w:themeFill="background1" w:themeFillShade="F2"/>
          </w:tcPr>
          <w:p>
            <w:pPr>
              <w:spacing w:line="360" w:lineRule="exact"/>
              <w:jc w:val="center"/>
              <w:rPr>
                <w:bCs/>
                <w:lang w:val="en-US"/>
              </w:rPr>
            </w:pPr>
            <w:r>
              <w:rPr>
                <w:bCs/>
                <w:lang w:val="en-US"/>
              </w:rPr>
              <w:t>9.12</w:t>
            </w:r>
          </w:p>
        </w:tc>
        <w:tc>
          <w:tcPr>
            <w:tcW w:w="1534" w:type="dxa"/>
            <w:shd w:val="clear" w:color="auto" w:fill="F1F1F1" w:themeFill="background1" w:themeFillShade="F2"/>
          </w:tcPr>
          <w:p>
            <w:pPr>
              <w:spacing w:line="360" w:lineRule="exact"/>
              <w:jc w:val="center"/>
              <w:rPr>
                <w:bCs/>
                <w:lang w:val="en-US"/>
              </w:rPr>
            </w:pPr>
            <w:r>
              <w:rPr>
                <w:bCs/>
                <w:lang w:val="en-US"/>
              </w:rPr>
              <w:t>228.11</w:t>
            </w:r>
          </w:p>
        </w:tc>
        <w:tc>
          <w:tcPr>
            <w:tcW w:w="1534" w:type="dxa"/>
            <w:shd w:val="clear" w:color="auto" w:fill="F1F1F1" w:themeFill="background1" w:themeFillShade="F2"/>
          </w:tcPr>
          <w:p>
            <w:pPr>
              <w:spacing w:line="360" w:lineRule="exact"/>
              <w:jc w:val="center"/>
              <w:rPr>
                <w:bCs/>
                <w:lang w:val="en-US"/>
              </w:rPr>
            </w:pPr>
            <w:r>
              <w:rPr>
                <w:rFonts w:hint="eastAsia"/>
                <w:bCs/>
                <w:lang w:val="en-US"/>
              </w:rPr>
              <w:t>千克</w:t>
            </w:r>
          </w:p>
        </w:tc>
      </w:tr>
      <w:bookmarkEnd w:id="88"/>
    </w:tbl>
    <w:p>
      <w:pPr>
        <w:pStyle w:val="3"/>
        <w:rPr>
          <w:lang w:val="en-US"/>
        </w:rPr>
      </w:pPr>
    </w:p>
    <w:p>
      <w:pPr>
        <w:pStyle w:val="2"/>
        <w:rPr>
          <w:sz w:val="24"/>
          <w:szCs w:val="21"/>
        </w:rPr>
      </w:pPr>
      <w:bookmarkStart w:id="89" w:name="_Toc27425"/>
      <w:r>
        <w:rPr>
          <w:rFonts w:hint="eastAsia"/>
        </w:rPr>
        <w:t>综述</w:t>
      </w:r>
      <w:bookmarkEnd w:id="89"/>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57.20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87.4%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72.8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1715.1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49.43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24.02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7.96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0.29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9.73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20.2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-11.80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0.288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927.9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106" w:name="_Toc32691"/>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top w:val="single" w:color="7E7E7E" w:themeColor="text1" w:themeTint="80" w:sz="4" w:space="0"/>
              <w:bottom w:val="single" w:color="auto" w:sz="4" w:space="0"/>
            </w:tcBorders>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组件成本（万元）</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EPC平均单价(元/W)</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系统单位成本（元/ W）</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年运维成本（万元）</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贴现率</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度电成本（元 / 度）</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静态回收期 (年)</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NPV (万元)</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IRR</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4957E99"/>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4957E99"/>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20</Pages>
  <Words>6449</Words>
  <Characters>8462</Characters>
  <Lines>76</Lines>
  <Paragraphs>21</Paragraphs>
  <TotalTime>4</TotalTime>
  <ScaleCrop>false</ScaleCrop>
  <LinksUpToDate>false</LinksUpToDate>
  <CharactersWithSpaces>8616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2026-01-03T10:40:00Z</dcterms:created>
  <dc:creator>闪电皮皮</dc:creator>
  <cp:lastModifiedBy>闪电皮皮</cp:lastModifiedBy>
  <dcterms:modified xsi:type="dcterms:W3CDTF">2026-01-03T10:45:08Z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C206DDA9D19C4142BF19E280EE7DECC0_12</vt:lpwstr>
  </property>
</Properties>
</file>