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开封市禹王台区羲禾小学绿色建筑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587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业主单位：河南省禹畅建设投资有限公司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设计单位：河南省城乡建筑设计院有限公司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咨询单位：河南省城乡建筑设计院有限公司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项目名称：开封市禹王台区羲禾小学绿色建筑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围护结构提高6%或负荷降低4%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全寿命期单位建筑面积碳排放强为95kgCO2/（m2·a）减碳率13%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