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矿研绿隅—研学赋能型展示空间设计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总得分：Q=（Q0+Q1+Q2+Q3+Q4+Q5+QA）/10=63.3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