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5CEE8B"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通过挑檐沟外排水系统、矿渣混凝土透水铺装等构件收集屋面及场地雨水，经沉淀池、消毒池处理后，储存于清水池与蓄水池，分别用于景观浇灌、生活杂用水，实现水资源循环利用，减少市政自来水依赖。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262245" cy="1944370"/>
            <wp:effectExtent l="0" t="0" r="14605" b="17780"/>
            <wp:wrapSquare wrapText="bothSides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00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2026-03-15T15:01:59Z</dcterms:created>
  <dc:creator>ASUS</dc:creator>
  <cp:lastModifiedBy>han，苏城以念</cp:lastModifiedBy>
  <dcterms:modified xsi:type="dcterms:W3CDTF">2026-03-15T15:03:30Z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eyJoZGlkIjoiZGNjN2ZjZDMzY2Y5N2VmYjI0NzBmZmNjOTg1MzAwYmUiLCJ1c2VySWQiOiIxMTMzNzkzNTA2In0=</vt:lpwstr>
  </property>
  <property fmtid="{D5CDD505-2E9C-101B-9397-08002B2CF9AE}" pid="4" name="ICV">
    <vt:lpwstr>C1F3DAE6892A411CB2768B8575B9C221_12</vt:lpwstr>
  </property>
</Properties>
</file>