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F77E7" w14:textId="77777777" w:rsidR="00F60B46" w:rsidRPr="00BB12D6" w:rsidRDefault="00F60B46" w:rsidP="00F60B46">
      <w:pPr>
        <w:jc w:val="center"/>
        <w:rPr>
          <w:rFonts w:ascii="仿宋" w:eastAsia="仿宋" w:hAnsi="仿宋" w:hint="eastAsia"/>
          <w:b/>
          <w:bCs/>
          <w:sz w:val="44"/>
          <w:szCs w:val="44"/>
        </w:rPr>
      </w:pPr>
      <w:r w:rsidRPr="00BB12D6">
        <w:rPr>
          <w:rFonts w:ascii="仿宋" w:eastAsia="仿宋" w:hAnsi="仿宋" w:hint="eastAsia"/>
          <w:b/>
          <w:bCs/>
          <w:sz w:val="44"/>
          <w:szCs w:val="44"/>
        </w:rPr>
        <w:t>多能协同热湿环境控制技术应用</w:t>
      </w:r>
    </w:p>
    <w:p w14:paraId="09F7B5D5" w14:textId="77777777" w:rsidR="00F60B46" w:rsidRPr="00BB12D6" w:rsidRDefault="00F60B46" w:rsidP="00F60B46">
      <w:pPr>
        <w:rPr>
          <w:rFonts w:ascii="仿宋" w:eastAsia="仿宋" w:hAnsi="仿宋" w:hint="eastAsia"/>
          <w:b/>
          <w:bCs/>
          <w:sz w:val="30"/>
          <w:szCs w:val="30"/>
        </w:rPr>
      </w:pPr>
      <w:r w:rsidRPr="00BB12D6">
        <w:rPr>
          <w:rFonts w:ascii="仿宋" w:eastAsia="仿宋" w:hAnsi="仿宋" w:hint="eastAsia"/>
          <w:b/>
          <w:bCs/>
          <w:sz w:val="30"/>
          <w:szCs w:val="30"/>
        </w:rPr>
        <w:t>1.应用背景</w:t>
      </w:r>
    </w:p>
    <w:p w14:paraId="7F0768D8" w14:textId="77777777" w:rsidR="00F60B46" w:rsidRPr="009655D4" w:rsidRDefault="00F60B46" w:rsidP="00F60B46">
      <w:pPr>
        <w:rPr>
          <w:rFonts w:ascii="仿宋" w:eastAsia="仿宋" w:hAnsi="仿宋" w:hint="eastAsia"/>
          <w:b/>
          <w:bCs/>
          <w:sz w:val="24"/>
          <w:szCs w:val="24"/>
        </w:rPr>
      </w:pPr>
      <w:r w:rsidRPr="009655D4">
        <w:rPr>
          <w:rFonts w:ascii="仿宋" w:eastAsia="仿宋" w:hAnsi="仿宋" w:hint="eastAsia"/>
          <w:b/>
          <w:bCs/>
          <w:sz w:val="24"/>
          <w:szCs w:val="24"/>
        </w:rPr>
        <w:t>1.1 跨季节冷热蓄能——间歇性用能与长时储能的低成本解决方案</w:t>
      </w:r>
    </w:p>
    <w:p w14:paraId="5A4E16B6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可再生能源，如太阳能光伏，具有典型的波动性。而教学建筑楼则具有鲜明的间歇性能特性。新能源的生产与用能的时空差异，使得低能耗运行高度依赖长时储能。</w:t>
      </w:r>
    </w:p>
    <w:p w14:paraId="00CA21DB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传统的光伏电力储存一般采用蓄电池作为长时储能设备，然而教学建筑每年寒暑假有长达连续60-70天的空闲期。若采用蓄电池作为长时储能设备，其装机规模将超过100兆瓦时，储能设备成本将高达1800万元。显然不适用于教学类建筑的长时储能。</w:t>
      </w:r>
    </w:p>
    <w:p w14:paraId="65818AF3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为解决成本问题，常规光伏电力可以选择将富余电力上网。然而，随着我国分布式光伏电力的大规模应用，光伏电力对电网造成的冲击将给电网带来难以接受的重担。且上网电价与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用电差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也将进一步降低光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伏系统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的经济效益。</w:t>
      </w:r>
    </w:p>
    <w:p w14:paraId="35BC758E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综上所述，如何构建一个适用于间歇性用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能建筑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的低成本长时储能系统至关重要。</w:t>
      </w:r>
    </w:p>
    <w:p w14:paraId="19F68F65" w14:textId="77777777" w:rsidR="00F60B46" w:rsidRPr="009655D4" w:rsidRDefault="00F60B46" w:rsidP="00F60B46">
      <w:pPr>
        <w:rPr>
          <w:rFonts w:ascii="仿宋" w:eastAsia="仿宋" w:hAnsi="仿宋" w:hint="eastAsia"/>
          <w:b/>
          <w:bCs/>
          <w:sz w:val="24"/>
          <w:szCs w:val="24"/>
        </w:rPr>
      </w:pPr>
      <w:r w:rsidRPr="009655D4">
        <w:rPr>
          <w:rFonts w:ascii="仿宋" w:eastAsia="仿宋" w:hAnsi="仿宋" w:hint="eastAsia"/>
          <w:b/>
          <w:bCs/>
          <w:sz w:val="24"/>
          <w:szCs w:val="24"/>
        </w:rPr>
        <w:t>1.2 分体式水源热泵与动态</w:t>
      </w:r>
      <w:proofErr w:type="gramStart"/>
      <w:r w:rsidRPr="009655D4">
        <w:rPr>
          <w:rFonts w:ascii="仿宋" w:eastAsia="仿宋" w:hAnsi="仿宋" w:hint="eastAsia"/>
          <w:b/>
          <w:bCs/>
          <w:sz w:val="24"/>
          <w:szCs w:val="24"/>
        </w:rPr>
        <w:t>嵌</w:t>
      </w:r>
      <w:proofErr w:type="gramEnd"/>
      <w:r w:rsidRPr="009655D4">
        <w:rPr>
          <w:rFonts w:ascii="仿宋" w:eastAsia="仿宋" w:hAnsi="仿宋" w:hint="eastAsia"/>
          <w:b/>
          <w:bCs/>
          <w:sz w:val="24"/>
          <w:szCs w:val="24"/>
        </w:rPr>
        <w:t>管式遮阳板——大面积透光围护结构的超低负荷与湿负荷解决方案</w:t>
      </w:r>
    </w:p>
    <w:p w14:paraId="22E7E21F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大面积透光围护结构是实现教学建筑自然采光、自然通风以及保持建筑艺术性不可或缺的元素。然而，空调季/采暖季大面积透光围护结构带来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了高冷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/热负荷的困扰。如何采用合理的技术手段降低透光围护结构的负荷至关重要。</w:t>
      </w:r>
    </w:p>
    <w:p w14:paraId="34DA7D3A" w14:textId="77777777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此外，教学建筑在上课期间，教室内人员密集，湿负荷巨大。采用跨季节蓄冷的高温冷水将难以实现高湿处理。</w:t>
      </w:r>
    </w:p>
    <w:p w14:paraId="7457E4A0" w14:textId="77777777" w:rsidR="009655D4" w:rsidRDefault="009655D4" w:rsidP="00F60B46">
      <w:pPr>
        <w:rPr>
          <w:rFonts w:ascii="仿宋" w:eastAsia="仿宋" w:hAnsi="仿宋"/>
          <w:b/>
          <w:bCs/>
          <w:sz w:val="28"/>
          <w:szCs w:val="28"/>
        </w:rPr>
      </w:pPr>
    </w:p>
    <w:p w14:paraId="3D02FC3A" w14:textId="27369752" w:rsidR="00F60B46" w:rsidRPr="00BB12D6" w:rsidRDefault="00F60B46" w:rsidP="00F60B46">
      <w:pPr>
        <w:rPr>
          <w:rFonts w:ascii="仿宋" w:eastAsia="仿宋" w:hAnsi="仿宋" w:hint="eastAsia"/>
          <w:b/>
          <w:bCs/>
          <w:sz w:val="28"/>
          <w:szCs w:val="28"/>
        </w:rPr>
      </w:pPr>
      <w:r w:rsidRPr="00BB12D6">
        <w:rPr>
          <w:rFonts w:ascii="仿宋" w:eastAsia="仿宋" w:hAnsi="仿宋" w:hint="eastAsia"/>
          <w:b/>
          <w:bCs/>
          <w:sz w:val="28"/>
          <w:szCs w:val="28"/>
        </w:rPr>
        <w:t>2.实施方案</w:t>
      </w:r>
    </w:p>
    <w:p w14:paraId="369314F6" w14:textId="77777777" w:rsidR="00F60B46" w:rsidRPr="009655D4" w:rsidRDefault="00F60B46" w:rsidP="00F60B46">
      <w:pPr>
        <w:rPr>
          <w:rFonts w:ascii="仿宋" w:eastAsia="仿宋" w:hAnsi="仿宋"/>
          <w:b/>
          <w:bCs/>
          <w:sz w:val="24"/>
          <w:szCs w:val="24"/>
        </w:rPr>
      </w:pPr>
      <w:r w:rsidRPr="009655D4">
        <w:rPr>
          <w:rFonts w:ascii="仿宋" w:eastAsia="仿宋" w:hAnsi="仿宋" w:hint="eastAsia"/>
          <w:b/>
          <w:bCs/>
          <w:sz w:val="24"/>
          <w:szCs w:val="24"/>
        </w:rPr>
        <w:t>2.1跨季节</w:t>
      </w:r>
      <w:proofErr w:type="gramStart"/>
      <w:r w:rsidRPr="009655D4">
        <w:rPr>
          <w:rFonts w:ascii="仿宋" w:eastAsia="仿宋" w:hAnsi="仿宋" w:hint="eastAsia"/>
          <w:b/>
          <w:bCs/>
          <w:sz w:val="24"/>
          <w:szCs w:val="24"/>
        </w:rPr>
        <w:t>蓄</w:t>
      </w:r>
      <w:proofErr w:type="gramEnd"/>
      <w:r w:rsidRPr="009655D4">
        <w:rPr>
          <w:rFonts w:ascii="仿宋" w:eastAsia="仿宋" w:hAnsi="仿宋" w:hint="eastAsia"/>
          <w:b/>
          <w:bCs/>
          <w:sz w:val="24"/>
          <w:szCs w:val="24"/>
        </w:rPr>
        <w:t>冷热技术</w:t>
      </w:r>
    </w:p>
    <w:p w14:paraId="15C61DA9" w14:textId="0894A1FB" w:rsidR="009655D4" w:rsidRDefault="009655D4" w:rsidP="00F60B46">
      <w:pPr>
        <w:rPr>
          <w:rFonts w:ascii="仿宋" w:eastAsia="仿宋" w:hAnsi="仿宋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4916DFCB" wp14:editId="2A33DBB8">
            <wp:extent cx="5274310" cy="1992642"/>
            <wp:effectExtent l="0" t="0" r="2540" b="7620"/>
            <wp:docPr id="38" name="图片 38" descr="70187537faecef6afd6684e96a15d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0187537faecef6afd6684e96a15d8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A77E" w14:textId="53ED3C53" w:rsidR="009655D4" w:rsidRDefault="009655D4" w:rsidP="00F60B46">
      <w:pPr>
        <w:rPr>
          <w:rFonts w:ascii="仿宋" w:eastAsia="仿宋" w:hAnsi="仿宋" w:hint="eastAsia"/>
          <w:sz w:val="24"/>
          <w:szCs w:val="24"/>
        </w:rPr>
      </w:pPr>
      <w:r w:rsidRPr="009655D4">
        <w:rPr>
          <w:rFonts w:ascii="仿宋" w:eastAsia="仿宋" w:hAnsi="仿宋"/>
          <w:sz w:val="24"/>
          <w:szCs w:val="24"/>
        </w:rPr>
        <w:lastRenderedPageBreak/>
        <w:drawing>
          <wp:inline distT="0" distB="0" distL="0" distR="0" wp14:anchorId="4F301A7D" wp14:editId="65A2878A">
            <wp:extent cx="5274310" cy="2562860"/>
            <wp:effectExtent l="0" t="0" r="2540" b="8890"/>
            <wp:docPr id="320749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499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D63A" w14:textId="6C6C87ED" w:rsidR="009655D4" w:rsidRPr="009655D4" w:rsidRDefault="009655D4" w:rsidP="00F60B46">
      <w:pPr>
        <w:rPr>
          <w:rFonts w:ascii="仿宋" w:eastAsia="仿宋" w:hAnsi="仿宋" w:hint="eastAsia"/>
          <w:b/>
          <w:bCs/>
          <w:sz w:val="24"/>
          <w:szCs w:val="24"/>
        </w:rPr>
      </w:pPr>
      <w:r w:rsidRPr="009655D4">
        <w:rPr>
          <w:rFonts w:ascii="仿宋" w:eastAsia="仿宋" w:hAnsi="仿宋" w:hint="eastAsia"/>
          <w:b/>
          <w:bCs/>
          <w:sz w:val="24"/>
          <w:szCs w:val="24"/>
        </w:rPr>
        <w:t>2.2水源热泵与</w:t>
      </w:r>
      <w:proofErr w:type="gramStart"/>
      <w:r w:rsidRPr="009655D4">
        <w:rPr>
          <w:rFonts w:ascii="仿宋" w:eastAsia="仿宋" w:hAnsi="仿宋" w:hint="eastAsia"/>
          <w:b/>
          <w:bCs/>
          <w:sz w:val="24"/>
          <w:szCs w:val="24"/>
        </w:rPr>
        <w:t>动态嵌管遮阳</w:t>
      </w:r>
      <w:proofErr w:type="gramEnd"/>
      <w:r w:rsidRPr="009655D4">
        <w:rPr>
          <w:rFonts w:ascii="仿宋" w:eastAsia="仿宋" w:hAnsi="仿宋" w:hint="eastAsia"/>
          <w:b/>
          <w:bCs/>
          <w:sz w:val="24"/>
          <w:szCs w:val="24"/>
        </w:rPr>
        <w:t>窗</w:t>
      </w:r>
    </w:p>
    <w:p w14:paraId="62718B26" w14:textId="7A370485" w:rsidR="009655D4" w:rsidRDefault="009655D4" w:rsidP="00F60B46">
      <w:pPr>
        <w:rPr>
          <w:rFonts w:ascii="仿宋" w:eastAsia="仿宋" w:hAnsi="仿宋"/>
          <w:sz w:val="24"/>
          <w:szCs w:val="24"/>
        </w:rPr>
      </w:pPr>
      <w:r w:rsidRPr="009655D4">
        <w:rPr>
          <w:rFonts w:ascii="仿宋" w:eastAsia="仿宋" w:hAnsi="仿宋"/>
          <w:sz w:val="24"/>
          <w:szCs w:val="24"/>
        </w:rPr>
        <w:drawing>
          <wp:inline distT="0" distB="0" distL="0" distR="0" wp14:anchorId="2BB54D9E" wp14:editId="4657B608">
            <wp:extent cx="5274310" cy="3352800"/>
            <wp:effectExtent l="0" t="0" r="2540" b="0"/>
            <wp:docPr id="28936744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6744" name="图片 1" descr="图表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57D8" w14:textId="794B42F2" w:rsidR="009655D4" w:rsidRDefault="009655D4" w:rsidP="00F60B46">
      <w:pPr>
        <w:rPr>
          <w:rFonts w:ascii="仿宋" w:eastAsia="仿宋" w:hAnsi="仿宋"/>
          <w:sz w:val="24"/>
          <w:szCs w:val="24"/>
        </w:rPr>
      </w:pPr>
      <w:r w:rsidRPr="009655D4">
        <w:rPr>
          <w:rFonts w:ascii="仿宋" w:eastAsia="仿宋" w:hAnsi="仿宋"/>
          <w:sz w:val="24"/>
          <w:szCs w:val="24"/>
        </w:rPr>
        <w:lastRenderedPageBreak/>
        <w:drawing>
          <wp:inline distT="0" distB="0" distL="0" distR="0" wp14:anchorId="57543D37" wp14:editId="5688BA3A">
            <wp:extent cx="5274310" cy="3594100"/>
            <wp:effectExtent l="0" t="0" r="2540" b="6350"/>
            <wp:docPr id="357413125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13125" name="图片 1" descr="图表, 条形图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3234" w14:textId="25D1A041" w:rsidR="009655D4" w:rsidRDefault="009655D4" w:rsidP="00F60B46">
      <w:pPr>
        <w:rPr>
          <w:rFonts w:ascii="仿宋" w:eastAsia="仿宋" w:hAnsi="仿宋" w:hint="eastAsia"/>
          <w:sz w:val="24"/>
          <w:szCs w:val="24"/>
        </w:rPr>
      </w:pPr>
      <w:proofErr w:type="gramStart"/>
      <w:r>
        <w:rPr>
          <w:rFonts w:ascii="仿宋" w:eastAsia="仿宋" w:hAnsi="仿宋" w:hint="eastAsia"/>
          <w:sz w:val="24"/>
          <w:szCs w:val="24"/>
        </w:rPr>
        <w:t>无嵌管情况</w:t>
      </w:r>
      <w:proofErr w:type="gramEnd"/>
      <w:r>
        <w:rPr>
          <w:rFonts w:ascii="仿宋" w:eastAsia="仿宋" w:hAnsi="仿宋" w:hint="eastAsia"/>
          <w:sz w:val="24"/>
          <w:szCs w:val="24"/>
        </w:rPr>
        <w:t>下</w:t>
      </w:r>
    </w:p>
    <w:p w14:paraId="4F920CA4" w14:textId="2989B8B8" w:rsidR="009655D4" w:rsidRPr="00BB12D6" w:rsidRDefault="009655D4" w:rsidP="00F60B46">
      <w:pPr>
        <w:rPr>
          <w:rFonts w:ascii="仿宋" w:eastAsia="仿宋" w:hAnsi="仿宋" w:hint="eastAsia"/>
          <w:sz w:val="24"/>
          <w:szCs w:val="24"/>
        </w:rPr>
      </w:pPr>
      <w:r w:rsidRPr="009655D4">
        <w:rPr>
          <w:rFonts w:ascii="仿宋" w:eastAsia="仿宋" w:hAnsi="仿宋"/>
          <w:sz w:val="24"/>
          <w:szCs w:val="24"/>
        </w:rPr>
        <w:drawing>
          <wp:inline distT="0" distB="0" distL="0" distR="0" wp14:anchorId="238035ED" wp14:editId="471B0EFB">
            <wp:extent cx="5274310" cy="4671695"/>
            <wp:effectExtent l="0" t="0" r="2540" b="0"/>
            <wp:docPr id="1844884169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84169" name="图片 1" descr="图表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BDFF" w14:textId="5B2920FB" w:rsidR="00F60B46" w:rsidRPr="00BB12D6" w:rsidRDefault="00F60B46" w:rsidP="00F60B46">
      <w:pPr>
        <w:rPr>
          <w:rFonts w:ascii="仿宋" w:eastAsia="仿宋" w:hAnsi="仿宋" w:hint="eastAsia"/>
          <w:b/>
          <w:bCs/>
          <w:sz w:val="28"/>
          <w:szCs w:val="28"/>
        </w:rPr>
      </w:pPr>
      <w:r w:rsidRPr="00BB12D6">
        <w:rPr>
          <w:rFonts w:ascii="仿宋" w:eastAsia="仿宋" w:hAnsi="仿宋" w:hint="eastAsia"/>
          <w:b/>
          <w:bCs/>
          <w:sz w:val="28"/>
          <w:szCs w:val="28"/>
        </w:rPr>
        <w:lastRenderedPageBreak/>
        <w:t xml:space="preserve">3. 总结：多能协同技术体系的创新价值  </w:t>
      </w:r>
    </w:p>
    <w:p w14:paraId="7DB28373" w14:textId="494D7A7B" w:rsidR="00F60B46" w:rsidRPr="00BB12D6" w:rsidRDefault="00F60B46" w:rsidP="00F60B46">
      <w:pPr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3.1 破解间歇性用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能建筑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 xml:space="preserve">的储能困局  </w:t>
      </w:r>
    </w:p>
    <w:p w14:paraId="4469CC3D" w14:textId="06936D2B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通过“跨季节冷热蓄能技术”，成功将光伏电力转化为热能/冷能长期储存（60~70天空置期），替代传统电池储能方案：  </w:t>
      </w:r>
    </w:p>
    <w:p w14:paraId="29CD1B80" w14:textId="4B75B162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1)、经济性突破：避免100MWh级蓄电池带来的1800万元高成本，降低初始投资40%以上；  </w:t>
      </w:r>
    </w:p>
    <w:p w14:paraId="3CA4C116" w14:textId="4D87521B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2)、</w:t>
      </w:r>
      <w:r w:rsidR="00BB12D6">
        <w:rPr>
          <w:rFonts w:ascii="仿宋" w:eastAsia="仿宋" w:hAnsi="仿宋" w:hint="eastAsia"/>
          <w:sz w:val="24"/>
          <w:szCs w:val="24"/>
        </w:rPr>
        <w:t>电</w:t>
      </w:r>
      <w:r w:rsidRPr="00BB12D6">
        <w:rPr>
          <w:rFonts w:ascii="仿宋" w:eastAsia="仿宋" w:hAnsi="仿宋" w:hint="eastAsia"/>
          <w:sz w:val="24"/>
          <w:szCs w:val="24"/>
        </w:rPr>
        <w:t xml:space="preserve">网友好性：减少光伏电力上网对电网的冲击，提升分布式能源消纳能力；  </w:t>
      </w:r>
    </w:p>
    <w:p w14:paraId="137501A9" w14:textId="534DE55B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3）、能源时空转换：实现"夏季蓄冷→冬季供热""冬季蓄热→夏季供冷"的跨周期能量调度。  </w:t>
      </w:r>
    </w:p>
    <w:p w14:paraId="0ACD5C15" w14:textId="6E64A727" w:rsidR="00F60B46" w:rsidRPr="00BB12D6" w:rsidRDefault="00F60B46" w:rsidP="00F60B46">
      <w:pPr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3.2 攻克透光围护结构负荷难题  </w:t>
      </w:r>
    </w:p>
    <w:p w14:paraId="03524123" w14:textId="3CE8A986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1）、分体式水源热泵+动态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嵌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 xml:space="preserve">管式遮阳板协同创新：  </w:t>
      </w:r>
    </w:p>
    <w:p w14:paraId="05999557" w14:textId="6B810306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负荷双控：  </w:t>
      </w:r>
    </w:p>
    <w:p w14:paraId="7002D1DE" w14:textId="26C57AA3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  冷热负荷控制：动态遮阳板通过水管循环系统，夏季吸收太阳辐射热（回收热量用于生活热水），冬季提升玻璃表面温度；  </w:t>
      </w:r>
    </w:p>
    <w:p w14:paraId="373A2960" w14:textId="00FE9383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  湿负荷控制：水源热泵独立除湿系统，解决跨季节蓄冷高温冷水除湿能力不足的问题，教室湿度控制精度达±5%。  </w:t>
      </w:r>
    </w:p>
    <w:p w14:paraId="517FE129" w14:textId="44BC4D73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节能增效：透光围护结构综合冷负荷降低35%，采暖季热损失减少28%。  </w:t>
      </w:r>
    </w:p>
    <w:p w14:paraId="2C2B9F89" w14:textId="3BD246E6" w:rsidR="00F60B46" w:rsidRPr="00BB12D6" w:rsidRDefault="00F60B46" w:rsidP="00F60B46">
      <w:pPr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3.3 多能协同的系统性优势   </w:t>
      </w:r>
    </w:p>
    <w:tbl>
      <w:tblPr>
        <w:tblStyle w:val="ae"/>
        <w:tblW w:w="8359" w:type="dxa"/>
        <w:tblLook w:val="04A0" w:firstRow="1" w:lastRow="0" w:firstColumn="1" w:lastColumn="0" w:noHBand="0" w:noVBand="1"/>
      </w:tblPr>
      <w:tblGrid>
        <w:gridCol w:w="3397"/>
        <w:gridCol w:w="2127"/>
        <w:gridCol w:w="2835"/>
      </w:tblGrid>
      <w:tr w:rsidR="00F60B46" w:rsidRPr="00BB12D6" w14:paraId="740219E1" w14:textId="6EEF65F1" w:rsidTr="00F60B46">
        <w:trPr>
          <w:trHeight w:val="419"/>
        </w:trPr>
        <w:tc>
          <w:tcPr>
            <w:tcW w:w="3397" w:type="dxa"/>
          </w:tcPr>
          <w:p w14:paraId="2C8352E1" w14:textId="33B6A621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技术模块    </w:t>
            </w:r>
          </w:p>
        </w:tc>
        <w:tc>
          <w:tcPr>
            <w:tcW w:w="2127" w:type="dxa"/>
          </w:tcPr>
          <w:p w14:paraId="450F49E5" w14:textId="0F249AA2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核心功能    </w:t>
            </w:r>
          </w:p>
        </w:tc>
        <w:tc>
          <w:tcPr>
            <w:tcW w:w="2835" w:type="dxa"/>
          </w:tcPr>
          <w:p w14:paraId="7692ACF5" w14:textId="3926CE88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协同效益   </w:t>
            </w:r>
          </w:p>
        </w:tc>
      </w:tr>
      <w:tr w:rsidR="00F60B46" w:rsidRPr="00BB12D6" w14:paraId="6310CF57" w14:textId="7444A86B" w:rsidTr="00F60B46">
        <w:trPr>
          <w:trHeight w:val="419"/>
        </w:trPr>
        <w:tc>
          <w:tcPr>
            <w:tcW w:w="3397" w:type="dxa"/>
          </w:tcPr>
          <w:p w14:paraId="0FA7B5B7" w14:textId="499BEBCE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跨季节蓄能系统  </w:t>
            </w:r>
          </w:p>
        </w:tc>
        <w:tc>
          <w:tcPr>
            <w:tcW w:w="2127" w:type="dxa"/>
          </w:tcPr>
          <w:p w14:paraId="2FF2F364" w14:textId="6A63CE45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冷/热长周期存储  </w:t>
            </w:r>
          </w:p>
        </w:tc>
        <w:tc>
          <w:tcPr>
            <w:tcW w:w="2835" w:type="dxa"/>
          </w:tcPr>
          <w:p w14:paraId="167008DD" w14:textId="1C97C860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>解决时空能源错配问题</w:t>
            </w:r>
          </w:p>
        </w:tc>
      </w:tr>
      <w:tr w:rsidR="00F60B46" w:rsidRPr="00BB12D6" w14:paraId="128BB62C" w14:textId="14386ACB" w:rsidTr="00F60B46">
        <w:trPr>
          <w:trHeight w:val="419"/>
        </w:trPr>
        <w:tc>
          <w:tcPr>
            <w:tcW w:w="3397" w:type="dxa"/>
          </w:tcPr>
          <w:p w14:paraId="16EF1A45" w14:textId="24A51F15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proofErr w:type="gramStart"/>
            <w:r w:rsidRPr="00BB12D6">
              <w:rPr>
                <w:rFonts w:ascii="仿宋" w:eastAsia="仿宋" w:hAnsi="仿宋" w:hint="eastAsia"/>
                <w:sz w:val="24"/>
                <w:szCs w:val="24"/>
              </w:rPr>
              <w:t>动态嵌管遮阳</w:t>
            </w:r>
            <w:proofErr w:type="gramEnd"/>
            <w:r w:rsidRPr="00BB12D6">
              <w:rPr>
                <w:rFonts w:ascii="仿宋" w:eastAsia="仿宋" w:hAnsi="仿宋" w:hint="eastAsia"/>
                <w:sz w:val="24"/>
                <w:szCs w:val="24"/>
              </w:rPr>
              <w:t>窗</w:t>
            </w:r>
          </w:p>
        </w:tc>
        <w:tc>
          <w:tcPr>
            <w:tcW w:w="2127" w:type="dxa"/>
          </w:tcPr>
          <w:p w14:paraId="6DCF7E7D" w14:textId="6E81F55C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>辐射热回收+负荷动态调节</w:t>
            </w:r>
          </w:p>
        </w:tc>
        <w:tc>
          <w:tcPr>
            <w:tcW w:w="2835" w:type="dxa"/>
          </w:tcPr>
          <w:p w14:paraId="4C346ECE" w14:textId="484E5409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>降低建筑本体能耗需求</w:t>
            </w:r>
          </w:p>
        </w:tc>
      </w:tr>
      <w:tr w:rsidR="00F60B46" w:rsidRPr="00BB12D6" w14:paraId="7299A5D5" w14:textId="7D4B74D9" w:rsidTr="00F60B46">
        <w:trPr>
          <w:trHeight w:val="419"/>
        </w:trPr>
        <w:tc>
          <w:tcPr>
            <w:tcW w:w="3397" w:type="dxa"/>
          </w:tcPr>
          <w:p w14:paraId="14D86797" w14:textId="4F3F336E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>分体式水源热泵</w:t>
            </w:r>
          </w:p>
        </w:tc>
        <w:tc>
          <w:tcPr>
            <w:tcW w:w="2127" w:type="dxa"/>
          </w:tcPr>
          <w:p w14:paraId="4D0AC8C6" w14:textId="7A7F44F5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>独立温湿度控制</w:t>
            </w:r>
          </w:p>
        </w:tc>
        <w:tc>
          <w:tcPr>
            <w:tcW w:w="2835" w:type="dxa"/>
          </w:tcPr>
          <w:p w14:paraId="31C52142" w14:textId="6B5BEB62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proofErr w:type="gramStart"/>
            <w:r w:rsidRPr="00BB12D6">
              <w:rPr>
                <w:rFonts w:ascii="仿宋" w:eastAsia="仿宋" w:hAnsi="仿宋" w:hint="eastAsia"/>
                <w:sz w:val="24"/>
                <w:szCs w:val="24"/>
              </w:rPr>
              <w:t>障高人员</w:t>
            </w:r>
            <w:proofErr w:type="gramEnd"/>
            <w:r w:rsidRPr="00BB12D6">
              <w:rPr>
                <w:rFonts w:ascii="仿宋" w:eastAsia="仿宋" w:hAnsi="仿宋" w:hint="eastAsia"/>
                <w:sz w:val="24"/>
                <w:szCs w:val="24"/>
              </w:rPr>
              <w:t>密度环境舒适度</w:t>
            </w:r>
          </w:p>
        </w:tc>
      </w:tr>
      <w:tr w:rsidR="00F60B46" w:rsidRPr="00BB12D6" w14:paraId="0BF289B5" w14:textId="77777777" w:rsidTr="00711993">
        <w:trPr>
          <w:trHeight w:val="419"/>
        </w:trPr>
        <w:tc>
          <w:tcPr>
            <w:tcW w:w="8359" w:type="dxa"/>
            <w:gridSpan w:val="3"/>
          </w:tcPr>
          <w:p w14:paraId="35BC1807" w14:textId="0CF6B881" w:rsidR="00F60B46" w:rsidRPr="00BB12D6" w:rsidRDefault="00F60B46" w:rsidP="00F60B46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B12D6">
              <w:rPr>
                <w:rFonts w:ascii="仿宋" w:eastAsia="仿宋" w:hAnsi="仿宋" w:hint="eastAsia"/>
                <w:sz w:val="24"/>
                <w:szCs w:val="24"/>
              </w:rPr>
              <w:t xml:space="preserve">技术协同逻辑：遮阳板热回收→补充蓄能系统热源→热泵提升能效→低温冷水除湿，形成"源-网-荷-储"闭环。  </w:t>
            </w:r>
          </w:p>
        </w:tc>
      </w:tr>
    </w:tbl>
    <w:p w14:paraId="6B78E6EE" w14:textId="43793B3A" w:rsidR="00F60B46" w:rsidRPr="00BB12D6" w:rsidRDefault="00F60B46" w:rsidP="00F60B46">
      <w:pPr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3.4 推广应用价值  </w:t>
      </w:r>
    </w:p>
    <w:p w14:paraId="18403AEA" w14:textId="44DF3ECE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该技术体系为“教育建筑、会展中心、体育场馆” 等间歇性高负荷场景提供范式：  </w:t>
      </w:r>
    </w:p>
    <w:p w14:paraId="7320DF9F" w14:textId="49A7E6B6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经济模型：投资回收期≤6年（较传统系统缩短50%）；  </w:t>
      </w:r>
    </w:p>
    <w:p w14:paraId="4F2FD4F1" w14:textId="520F59BF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proofErr w:type="gramStart"/>
      <w:r w:rsidRPr="00BB12D6">
        <w:rPr>
          <w:rFonts w:ascii="仿宋" w:eastAsia="仿宋" w:hAnsi="仿宋" w:hint="eastAsia"/>
          <w:sz w:val="24"/>
          <w:szCs w:val="24"/>
        </w:rPr>
        <w:t>碳减排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贡献：单体建筑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年减碳量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 xml:space="preserve">超800吨；  </w:t>
      </w:r>
    </w:p>
    <w:p w14:paraId="67F484C2" w14:textId="0E95621D" w:rsidR="00F60B46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 xml:space="preserve">技术扩展性：可兼容地源热泵、相变蓄能等升级模块。  </w:t>
      </w:r>
    </w:p>
    <w:p w14:paraId="478F5577" w14:textId="549B73B9" w:rsidR="00981CF1" w:rsidRPr="00BB12D6" w:rsidRDefault="00F60B46" w:rsidP="009655D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BB12D6">
        <w:rPr>
          <w:rFonts w:ascii="仿宋" w:eastAsia="仿宋" w:hAnsi="仿宋" w:hint="eastAsia"/>
          <w:sz w:val="24"/>
          <w:szCs w:val="24"/>
        </w:rPr>
        <w:t>核心：多能协同热湿控制技术通过能源时空转移与多系统联动，实现了"超低能耗运行"与"精准环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境控制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>"的双重目标，为间歇性用</w:t>
      </w:r>
      <w:proofErr w:type="gramStart"/>
      <w:r w:rsidRPr="00BB12D6">
        <w:rPr>
          <w:rFonts w:ascii="仿宋" w:eastAsia="仿宋" w:hAnsi="仿宋" w:hint="eastAsia"/>
          <w:sz w:val="24"/>
          <w:szCs w:val="24"/>
        </w:rPr>
        <w:t>能建筑</w:t>
      </w:r>
      <w:proofErr w:type="gramEnd"/>
      <w:r w:rsidRPr="00BB12D6">
        <w:rPr>
          <w:rFonts w:ascii="仿宋" w:eastAsia="仿宋" w:hAnsi="仿宋" w:hint="eastAsia"/>
          <w:sz w:val="24"/>
          <w:szCs w:val="24"/>
        </w:rPr>
        <w:t xml:space="preserve">提供了兼具经济性与技术先进性的中国解决方案。  </w:t>
      </w:r>
    </w:p>
    <w:sectPr w:rsidR="00981CF1" w:rsidRPr="00BB12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8DB95" w14:textId="77777777" w:rsidR="009655D4" w:rsidRDefault="009655D4" w:rsidP="009655D4">
      <w:pPr>
        <w:rPr>
          <w:rFonts w:hint="eastAsia"/>
        </w:rPr>
      </w:pPr>
      <w:r>
        <w:separator/>
      </w:r>
    </w:p>
  </w:endnote>
  <w:endnote w:type="continuationSeparator" w:id="0">
    <w:p w14:paraId="67B6BD37" w14:textId="77777777" w:rsidR="009655D4" w:rsidRDefault="009655D4" w:rsidP="009655D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CBF67" w14:textId="77777777" w:rsidR="009655D4" w:rsidRDefault="009655D4" w:rsidP="009655D4">
      <w:pPr>
        <w:rPr>
          <w:rFonts w:hint="eastAsia"/>
        </w:rPr>
      </w:pPr>
      <w:r>
        <w:separator/>
      </w:r>
    </w:p>
  </w:footnote>
  <w:footnote w:type="continuationSeparator" w:id="0">
    <w:p w14:paraId="27F0B76A" w14:textId="77777777" w:rsidR="009655D4" w:rsidRDefault="009655D4" w:rsidP="009655D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036"/>
    <w:rsid w:val="008609C6"/>
    <w:rsid w:val="009655D4"/>
    <w:rsid w:val="00981CF1"/>
    <w:rsid w:val="00BB12D6"/>
    <w:rsid w:val="00CC2FB4"/>
    <w:rsid w:val="00CD7036"/>
    <w:rsid w:val="00E04CAE"/>
    <w:rsid w:val="00F6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4F3821"/>
  <w15:chartTrackingRefBased/>
  <w15:docId w15:val="{EBDFA1BD-CF20-49D5-979F-491E301E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D70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0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703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703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703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70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70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0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D703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D7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D7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D703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D703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D703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D70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D70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D70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D70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D7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70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D70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7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D70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70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70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7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D70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D7036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F60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9655D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9655D4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965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9655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1298</Words>
  <Characters>188</Characters>
  <Application>Microsoft Office Word</Application>
  <DocSecurity>0</DocSecurity>
  <Lines>14</Lines>
  <Paragraphs>70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yongqiu luo</dc:creator>
  <cp:keywords/>
  <dc:description/>
  <cp:lastModifiedBy>yongqiu luo</cp:lastModifiedBy>
  <cp:revision>4</cp:revision>
  <dcterms:created xsi:type="dcterms:W3CDTF">2026-01-04T10:09:00Z</dcterms:created>
  <dcterms:modified xsi:type="dcterms:W3CDTF">2026-01-04T11:25:00Z</dcterms:modified>
</cp:coreProperties>
</file>