
<file path=[Content_Types].xml><?xml version="1.0" encoding="utf-8"?>
<Types xmlns="http://schemas.openxmlformats.org/package/2006/content-types">
  <Default Extension="jpeg" ContentType="image/jpeg"/>
  <Default Extension="JPG" ContentType="image/.jpg"/>
  <Default Extension="bmp" ContentType="image/bmp"/>
  <Default Extension="png" ContentType="image/png"/>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8EB22BA">
      <w:pPr>
        <w:ind w:left="-284" w:leftChars="-473" w:hanging="709" w:hangingChars="338"/>
        <w:rPr>
          <w:rFonts w:ascii="Calibri" w:hAnsi="Calibri" w:eastAsia="宋体" w:cs="Times New Roman"/>
          <w:szCs w:val="22"/>
          <w:lang w:val="en-US"/>
        </w:rPr>
      </w:pPr>
      <w:bookmarkStart w:id="0" w:name="_Hlk172625514"/>
      <w:bookmarkStart w:id="79" w:name="_GoBack"/>
      <w:bookmarkEnd w:id="79"/>
    </w:p>
    <w:tbl>
      <w:tblPr>
        <w:tblStyle w:val="19"/>
        <w:tblW w:w="0" w:type="auto"/>
        <w:jc w:val="center"/>
        <w:tblLayout w:type="autofit"/>
        <w:tblCellMar>
          <w:top w:w="0" w:type="dxa"/>
          <w:left w:w="108" w:type="dxa"/>
          <w:bottom w:w="0" w:type="dxa"/>
          <w:right w:w="108" w:type="dxa"/>
        </w:tblCellMar>
      </w:tblPr>
      <w:tblGrid>
        <w:gridCol w:w="8312"/>
        <w:gridCol w:w="904"/>
      </w:tblGrid>
      <w:tr w14:paraId="14CB5BB2">
        <w:trPr>
          <w:trHeight w:val="2025" w:hRule="atLeast"/>
          <w:jc w:val="center"/>
        </w:trPr>
        <w:tc>
          <w:tcPr>
            <w:tcW w:w="9216" w:type="dxa"/>
            <w:gridSpan w:val="2"/>
            <w:shd w:val="clear" w:color="auto" w:fill="auto"/>
            <w:vAlign w:val="center"/>
          </w:tcPr>
          <w:p w14:paraId="5FA00446">
            <w:pPr>
              <w:jc w:val="center"/>
              <w:rPr>
                <w:b/>
                <w:spacing w:val="45"/>
                <w:sz w:val="30"/>
                <w:szCs w:val="30"/>
              </w:rPr>
            </w:pPr>
            <w:bookmarkStart w:id="1" w:name="_Hlk172625491"/>
          </w:p>
          <w:p w14:paraId="18D0CEF1">
            <w:pPr>
              <w:jc w:val="center"/>
              <w:rPr>
                <w:b/>
                <w:spacing w:val="45"/>
                <w:sz w:val="30"/>
                <w:szCs w:val="30"/>
              </w:rPr>
            </w:pPr>
          </w:p>
          <w:p w14:paraId="1D9FC167">
            <w:pPr>
              <w:spacing w:before="156" w:beforeLines="50"/>
              <w:jc w:val="center"/>
              <w:rPr>
                <w:b/>
                <w:sz w:val="72"/>
                <w:szCs w:val="52"/>
              </w:rPr>
            </w:pPr>
            <w:r>
              <w:rPr>
                <w:rFonts w:hint="eastAsia"/>
                <w:b/>
                <w:spacing w:val="54"/>
                <w:kern w:val="0"/>
                <w:sz w:val="72"/>
                <w:szCs w:val="52"/>
                <w:fitText w:val="9000" w:id="-938826239"/>
              </w:rPr>
              <w:t>地下空间采光系数计算</w:t>
            </w:r>
            <w:r>
              <w:rPr>
                <w:rFonts w:hint="eastAsia"/>
                <w:b/>
                <w:spacing w:val="0"/>
                <w:kern w:val="0"/>
                <w:sz w:val="72"/>
                <w:szCs w:val="52"/>
                <w:fitText w:val="9000" w:id="-938826239"/>
              </w:rPr>
              <w:t>书</w:t>
            </w:r>
          </w:p>
        </w:tc>
      </w:tr>
      <w:tr w14:paraId="2C7C3E1D">
        <w:tblPrEx>
          <w:tblCellMar>
            <w:top w:w="0" w:type="dxa"/>
            <w:left w:w="108" w:type="dxa"/>
            <w:bottom w:w="0" w:type="dxa"/>
            <w:right w:w="108" w:type="dxa"/>
          </w:tblCellMar>
        </w:tblPrEx>
        <w:trPr>
          <w:jc w:val="center"/>
        </w:trPr>
        <w:tc>
          <w:tcPr>
            <w:tcW w:w="9216" w:type="dxa"/>
            <w:gridSpan w:val="2"/>
            <w:shd w:val="clear" w:color="auto" w:fill="auto"/>
          </w:tcPr>
          <w:p w14:paraId="588975E2">
            <w:pPr>
              <w:spacing w:before="312" w:beforeLines="100"/>
              <w:jc w:val="center"/>
              <w:rPr>
                <w:b/>
                <w:sz w:val="36"/>
                <w:szCs w:val="36"/>
              </w:rPr>
            </w:pPr>
            <w:bookmarkStart w:id="2" w:name="工程名称"/>
            <w:bookmarkEnd w:id="2"/>
          </w:p>
        </w:tc>
      </w:tr>
      <w:bookmarkEnd w:id="0"/>
      <w:bookmarkEnd w:id="1"/>
      <w:tr w14:paraId="7974F03B">
        <w:tblPrEx>
          <w:tblCellMar>
            <w:top w:w="0" w:type="dxa"/>
            <w:left w:w="108" w:type="dxa"/>
            <w:bottom w:w="0" w:type="dxa"/>
            <w:right w:w="108" w:type="dxa"/>
          </w:tblCellMar>
        </w:tblPrEx>
        <w:trPr>
          <w:gridAfter w:val="1"/>
          <w:wAfter w:w="904" w:type="dxa"/>
          <w:jc w:val="center"/>
        </w:trPr>
        <w:tc>
          <w:tcPr>
            <w:tcW w:w="8312" w:type="dxa"/>
            <w:shd w:val="clear" w:color="auto" w:fill="auto"/>
          </w:tcPr>
          <w:p w14:paraId="296A5A57">
            <w:pPr>
              <w:jc w:val="center"/>
              <w:rPr>
                <w:b/>
                <w:sz w:val="32"/>
                <w:szCs w:val="52"/>
              </w:rPr>
            </w:pPr>
            <w:r>
              <w:rPr>
                <w:rFonts w:hint="eastAsia"/>
                <w:b/>
                <w:sz w:val="32"/>
                <w:szCs w:val="52"/>
              </w:rPr>
              <w:t xml:space="preserve">    设计编号：</w:t>
            </w:r>
            <w:bookmarkStart w:id="3" w:name="设计编号"/>
            <w:bookmarkEnd w:id="3"/>
          </w:p>
          <w:p w14:paraId="701890B9">
            <w:pPr>
              <w:jc w:val="center"/>
              <w:rPr>
                <w:b/>
                <w:sz w:val="32"/>
                <w:szCs w:val="52"/>
              </w:rPr>
            </w:pPr>
          </w:p>
        </w:tc>
      </w:tr>
      <w:tr w14:paraId="709A59FF">
        <w:tblPrEx>
          <w:tblCellMar>
            <w:top w:w="0" w:type="dxa"/>
            <w:left w:w="108" w:type="dxa"/>
            <w:bottom w:w="0" w:type="dxa"/>
            <w:right w:w="108" w:type="dxa"/>
          </w:tblCellMar>
        </w:tblPrEx>
        <w:trPr>
          <w:gridAfter w:val="1"/>
          <w:wAfter w:w="904" w:type="dxa"/>
          <w:jc w:val="center"/>
        </w:trPr>
        <w:tc>
          <w:tcPr>
            <w:tcW w:w="8312" w:type="dxa"/>
            <w:shd w:val="clear" w:color="auto" w:fill="auto"/>
          </w:tcPr>
          <w:p w14:paraId="1630FE59">
            <w:pPr>
              <w:jc w:val="center"/>
            </w:pPr>
            <w:bookmarkStart w:id="4" w:name="二维码"/>
            <w:bookmarkEnd w:id="4"/>
          </w:p>
        </w:tc>
      </w:tr>
    </w:tbl>
    <w:p w14:paraId="6C7B7848">
      <w:pPr>
        <w:jc w:val="center"/>
      </w:pPr>
      <w:r>
        <w:drawing>
          <wp:inline distT="0" distB="0" distL="0" distR="0">
            <wp:extent cx="1085850" cy="1085850"/>
            <wp:effectExtent l="0" t="0" r="0" b="0"/>
            <wp:docPr id="34" name="图片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图片 34"/>
                    <pic:cNvPicPr>
                      <a:picLocks noChangeAspect="1"/>
                    </pic:cNvPicPr>
                  </pic:nvPicPr>
                  <pic:blipFill>
                    <a:blip r:embed="rId8"/>
                    <a:stretch>
                      <a:fillRect/>
                    </a:stretch>
                  </pic:blipFill>
                  <pic:spPr>
                    <a:xfrm>
                      <a:off x="0" y="0"/>
                      <a:ext cx="1085964" cy="1085964"/>
                    </a:xfrm>
                    <a:prstGeom prst="rect">
                      <a:avLst/>
                    </a:prstGeom>
                  </pic:spPr>
                </pic:pic>
              </a:graphicData>
            </a:graphic>
          </wp:inline>
        </w:drawing>
      </w:r>
    </w:p>
    <w:p w14:paraId="76764DE7">
      <w:pPr>
        <w:jc w:val="center"/>
      </w:pPr>
    </w:p>
    <w:p w14:paraId="57C24AAE"/>
    <w:p w14:paraId="53B7DE09"/>
    <w:tbl>
      <w:tblPr>
        <w:tblStyle w:val="19"/>
        <w:tblW w:w="0" w:type="auto"/>
        <w:jc w:val="center"/>
        <w:tblLayout w:type="autofit"/>
        <w:tblCellMar>
          <w:top w:w="0" w:type="dxa"/>
          <w:left w:w="108" w:type="dxa"/>
          <w:bottom w:w="0" w:type="dxa"/>
          <w:right w:w="108" w:type="dxa"/>
        </w:tblCellMar>
      </w:tblPr>
      <w:tblGrid>
        <w:gridCol w:w="1263"/>
        <w:gridCol w:w="456"/>
        <w:gridCol w:w="5311"/>
      </w:tblGrid>
      <w:tr w14:paraId="3B7AD51C">
        <w:tblPrEx>
          <w:tblCellMar>
            <w:top w:w="0" w:type="dxa"/>
            <w:left w:w="108" w:type="dxa"/>
            <w:bottom w:w="0" w:type="dxa"/>
            <w:right w:w="108" w:type="dxa"/>
          </w:tblCellMar>
        </w:tblPrEx>
        <w:trPr>
          <w:jc w:val="center"/>
        </w:trPr>
        <w:tc>
          <w:tcPr>
            <w:tcW w:w="1263" w:type="dxa"/>
            <w:shd w:val="clear" w:color="auto" w:fill="auto"/>
          </w:tcPr>
          <w:p w14:paraId="4FCDDD87">
            <w:pPr>
              <w:spacing w:line="600" w:lineRule="exact"/>
              <w:jc w:val="distribute"/>
              <w:rPr>
                <w:sz w:val="24"/>
                <w:szCs w:val="24"/>
              </w:rPr>
            </w:pPr>
            <w:r>
              <w:rPr>
                <w:rFonts w:hint="eastAsia"/>
                <w:sz w:val="24"/>
                <w:szCs w:val="24"/>
              </w:rPr>
              <w:t>工程地点</w:t>
            </w:r>
          </w:p>
        </w:tc>
        <w:tc>
          <w:tcPr>
            <w:tcW w:w="456" w:type="dxa"/>
            <w:shd w:val="clear" w:color="auto" w:fill="auto"/>
          </w:tcPr>
          <w:p w14:paraId="27B87137">
            <w:pPr>
              <w:spacing w:line="600" w:lineRule="exact"/>
              <w:rPr>
                <w:sz w:val="24"/>
                <w:szCs w:val="24"/>
              </w:rPr>
            </w:pPr>
            <w:r>
              <w:rPr>
                <w:rFonts w:hint="eastAsia"/>
                <w:sz w:val="24"/>
                <w:szCs w:val="24"/>
              </w:rPr>
              <w:t>：</w:t>
            </w:r>
          </w:p>
        </w:tc>
        <w:tc>
          <w:tcPr>
            <w:tcW w:w="5311" w:type="dxa"/>
            <w:tcBorders>
              <w:top w:val="nil"/>
              <w:left w:val="nil"/>
              <w:bottom w:val="single" w:color="7F7F7F" w:sz="4" w:space="0"/>
              <w:right w:val="nil"/>
            </w:tcBorders>
            <w:shd w:val="clear" w:color="auto" w:fill="auto"/>
          </w:tcPr>
          <w:p w14:paraId="69DC1768">
            <w:pPr>
              <w:spacing w:line="600" w:lineRule="exact"/>
              <w:jc w:val="center"/>
              <w:rPr>
                <w:sz w:val="24"/>
                <w:szCs w:val="24"/>
              </w:rPr>
            </w:pPr>
            <w:bookmarkStart w:id="5" w:name="项目地点1"/>
            <w:r>
              <w:rPr>
                <w:rFonts w:hint="eastAsia"/>
                <w:sz w:val="24"/>
                <w:szCs w:val="24"/>
              </w:rPr>
              <w:t>湘潭</w:t>
            </w:r>
            <w:bookmarkEnd w:id="5"/>
          </w:p>
        </w:tc>
      </w:tr>
      <w:tr w14:paraId="42725B09">
        <w:tblPrEx>
          <w:tblCellMar>
            <w:top w:w="0" w:type="dxa"/>
            <w:left w:w="108" w:type="dxa"/>
            <w:bottom w:w="0" w:type="dxa"/>
            <w:right w:w="108" w:type="dxa"/>
          </w:tblCellMar>
        </w:tblPrEx>
        <w:trPr>
          <w:jc w:val="center"/>
        </w:trPr>
        <w:tc>
          <w:tcPr>
            <w:tcW w:w="1263" w:type="dxa"/>
            <w:shd w:val="clear" w:color="auto" w:fill="auto"/>
          </w:tcPr>
          <w:p w14:paraId="724E7553">
            <w:pPr>
              <w:spacing w:line="600" w:lineRule="exact"/>
              <w:jc w:val="distribute"/>
              <w:rPr>
                <w:sz w:val="24"/>
                <w:szCs w:val="24"/>
              </w:rPr>
            </w:pPr>
            <w:r>
              <w:rPr>
                <w:rFonts w:hint="eastAsia"/>
                <w:sz w:val="24"/>
                <w:szCs w:val="24"/>
              </w:rPr>
              <w:t>建设单位</w:t>
            </w:r>
          </w:p>
        </w:tc>
        <w:tc>
          <w:tcPr>
            <w:tcW w:w="456" w:type="dxa"/>
            <w:shd w:val="clear" w:color="auto" w:fill="auto"/>
          </w:tcPr>
          <w:p w14:paraId="46F7EF68">
            <w:pPr>
              <w:spacing w:line="600" w:lineRule="exact"/>
              <w:rPr>
                <w:sz w:val="24"/>
                <w:szCs w:val="24"/>
              </w:rPr>
            </w:pPr>
            <w:r>
              <w:rPr>
                <w:rFonts w:hint="eastAsia"/>
                <w:sz w:val="24"/>
                <w:szCs w:val="24"/>
              </w:rPr>
              <w:t>：</w:t>
            </w:r>
          </w:p>
        </w:tc>
        <w:tc>
          <w:tcPr>
            <w:tcW w:w="5311" w:type="dxa"/>
            <w:tcBorders>
              <w:top w:val="nil"/>
              <w:left w:val="nil"/>
              <w:bottom w:val="single" w:color="7F7F7F" w:sz="4" w:space="0"/>
              <w:right w:val="nil"/>
            </w:tcBorders>
            <w:shd w:val="clear" w:color="auto" w:fill="auto"/>
          </w:tcPr>
          <w:p w14:paraId="30A8452B">
            <w:pPr>
              <w:spacing w:line="600" w:lineRule="exact"/>
              <w:jc w:val="center"/>
              <w:rPr>
                <w:sz w:val="24"/>
                <w:szCs w:val="24"/>
              </w:rPr>
            </w:pPr>
            <w:bookmarkStart w:id="6" w:name="建设单位"/>
            <w:bookmarkEnd w:id="6"/>
          </w:p>
        </w:tc>
      </w:tr>
      <w:tr w14:paraId="3EB54906">
        <w:tblPrEx>
          <w:tblCellMar>
            <w:top w:w="0" w:type="dxa"/>
            <w:left w:w="108" w:type="dxa"/>
            <w:bottom w:w="0" w:type="dxa"/>
            <w:right w:w="108" w:type="dxa"/>
          </w:tblCellMar>
        </w:tblPrEx>
        <w:trPr>
          <w:jc w:val="center"/>
        </w:trPr>
        <w:tc>
          <w:tcPr>
            <w:tcW w:w="1263" w:type="dxa"/>
            <w:shd w:val="clear" w:color="auto" w:fill="auto"/>
          </w:tcPr>
          <w:p w14:paraId="381B4EFF">
            <w:pPr>
              <w:spacing w:line="600" w:lineRule="exact"/>
              <w:jc w:val="distribute"/>
              <w:rPr>
                <w:sz w:val="24"/>
                <w:szCs w:val="24"/>
              </w:rPr>
            </w:pPr>
            <w:r>
              <w:rPr>
                <w:rFonts w:hint="eastAsia"/>
                <w:sz w:val="24"/>
                <w:szCs w:val="24"/>
              </w:rPr>
              <w:t>设计单位</w:t>
            </w:r>
          </w:p>
        </w:tc>
        <w:tc>
          <w:tcPr>
            <w:tcW w:w="456" w:type="dxa"/>
            <w:shd w:val="clear" w:color="auto" w:fill="auto"/>
          </w:tcPr>
          <w:p w14:paraId="0AB2679A">
            <w:pPr>
              <w:spacing w:line="600" w:lineRule="exact"/>
              <w:rPr>
                <w:sz w:val="24"/>
                <w:szCs w:val="24"/>
              </w:rPr>
            </w:pPr>
            <w:r>
              <w:rPr>
                <w:rFonts w:hint="eastAsia"/>
                <w:sz w:val="24"/>
                <w:szCs w:val="24"/>
              </w:rPr>
              <w:t>：</w:t>
            </w:r>
          </w:p>
        </w:tc>
        <w:tc>
          <w:tcPr>
            <w:tcW w:w="5311" w:type="dxa"/>
            <w:tcBorders>
              <w:top w:val="single" w:color="7F7F7F" w:sz="4" w:space="0"/>
              <w:left w:val="nil"/>
              <w:bottom w:val="single" w:color="7F7F7F" w:sz="4" w:space="0"/>
              <w:right w:val="nil"/>
            </w:tcBorders>
            <w:shd w:val="clear" w:color="auto" w:fill="auto"/>
          </w:tcPr>
          <w:p w14:paraId="793D460D">
            <w:pPr>
              <w:spacing w:line="600" w:lineRule="exact"/>
              <w:jc w:val="center"/>
              <w:rPr>
                <w:sz w:val="24"/>
                <w:szCs w:val="24"/>
              </w:rPr>
            </w:pPr>
            <w:bookmarkStart w:id="7" w:name="设计单位"/>
            <w:bookmarkEnd w:id="7"/>
          </w:p>
        </w:tc>
      </w:tr>
      <w:tr w14:paraId="561B6C7A">
        <w:tblPrEx>
          <w:tblCellMar>
            <w:top w:w="0" w:type="dxa"/>
            <w:left w:w="108" w:type="dxa"/>
            <w:bottom w:w="0" w:type="dxa"/>
            <w:right w:w="108" w:type="dxa"/>
          </w:tblCellMar>
        </w:tblPrEx>
        <w:trPr>
          <w:jc w:val="center"/>
        </w:trPr>
        <w:tc>
          <w:tcPr>
            <w:tcW w:w="1263" w:type="dxa"/>
            <w:shd w:val="clear" w:color="auto" w:fill="auto"/>
          </w:tcPr>
          <w:p w14:paraId="4BBF3F06">
            <w:pPr>
              <w:spacing w:line="600" w:lineRule="exact"/>
              <w:jc w:val="distribute"/>
              <w:rPr>
                <w:sz w:val="24"/>
                <w:szCs w:val="24"/>
              </w:rPr>
            </w:pPr>
            <w:r>
              <w:rPr>
                <w:rFonts w:hint="eastAsia"/>
                <w:sz w:val="24"/>
                <w:szCs w:val="24"/>
              </w:rPr>
              <w:t>设计人</w:t>
            </w:r>
          </w:p>
        </w:tc>
        <w:tc>
          <w:tcPr>
            <w:tcW w:w="456" w:type="dxa"/>
            <w:shd w:val="clear" w:color="auto" w:fill="auto"/>
          </w:tcPr>
          <w:p w14:paraId="02E1ACD7">
            <w:pPr>
              <w:spacing w:line="600" w:lineRule="exact"/>
              <w:rPr>
                <w:sz w:val="24"/>
                <w:szCs w:val="24"/>
              </w:rPr>
            </w:pPr>
            <w:r>
              <w:rPr>
                <w:rFonts w:hint="eastAsia"/>
                <w:sz w:val="24"/>
                <w:szCs w:val="24"/>
              </w:rPr>
              <w:t>：</w:t>
            </w:r>
          </w:p>
        </w:tc>
        <w:tc>
          <w:tcPr>
            <w:tcW w:w="5311" w:type="dxa"/>
            <w:tcBorders>
              <w:top w:val="single" w:color="7F7F7F" w:sz="4" w:space="0"/>
              <w:left w:val="nil"/>
              <w:bottom w:val="single" w:color="7F7F7F" w:sz="4" w:space="0"/>
              <w:right w:val="nil"/>
            </w:tcBorders>
            <w:shd w:val="clear" w:color="auto" w:fill="auto"/>
          </w:tcPr>
          <w:p w14:paraId="26B0578C">
            <w:pPr>
              <w:spacing w:line="600" w:lineRule="exact"/>
              <w:jc w:val="center"/>
              <w:rPr>
                <w:sz w:val="24"/>
                <w:szCs w:val="24"/>
              </w:rPr>
            </w:pPr>
          </w:p>
        </w:tc>
      </w:tr>
      <w:tr w14:paraId="660E6616">
        <w:tblPrEx>
          <w:tblCellMar>
            <w:top w:w="0" w:type="dxa"/>
            <w:left w:w="108" w:type="dxa"/>
            <w:bottom w:w="0" w:type="dxa"/>
            <w:right w:w="108" w:type="dxa"/>
          </w:tblCellMar>
        </w:tblPrEx>
        <w:trPr>
          <w:jc w:val="center"/>
        </w:trPr>
        <w:tc>
          <w:tcPr>
            <w:tcW w:w="1263" w:type="dxa"/>
            <w:shd w:val="clear" w:color="auto" w:fill="auto"/>
          </w:tcPr>
          <w:p w14:paraId="751D7443">
            <w:pPr>
              <w:spacing w:line="600" w:lineRule="exact"/>
              <w:jc w:val="distribute"/>
              <w:rPr>
                <w:sz w:val="24"/>
                <w:szCs w:val="24"/>
              </w:rPr>
            </w:pPr>
            <w:r>
              <w:rPr>
                <w:rFonts w:hint="eastAsia"/>
                <w:sz w:val="24"/>
                <w:szCs w:val="24"/>
              </w:rPr>
              <w:t>校对人</w:t>
            </w:r>
          </w:p>
        </w:tc>
        <w:tc>
          <w:tcPr>
            <w:tcW w:w="456" w:type="dxa"/>
            <w:shd w:val="clear" w:color="auto" w:fill="auto"/>
          </w:tcPr>
          <w:p w14:paraId="0602166B">
            <w:pPr>
              <w:spacing w:line="600" w:lineRule="exact"/>
              <w:rPr>
                <w:sz w:val="24"/>
                <w:szCs w:val="24"/>
              </w:rPr>
            </w:pPr>
            <w:r>
              <w:rPr>
                <w:rFonts w:hint="eastAsia"/>
                <w:sz w:val="24"/>
                <w:szCs w:val="24"/>
              </w:rPr>
              <w:t>：</w:t>
            </w:r>
          </w:p>
        </w:tc>
        <w:tc>
          <w:tcPr>
            <w:tcW w:w="5311" w:type="dxa"/>
            <w:tcBorders>
              <w:top w:val="single" w:color="7F7F7F" w:sz="4" w:space="0"/>
              <w:left w:val="nil"/>
              <w:bottom w:val="single" w:color="7F7F7F" w:sz="4" w:space="0"/>
              <w:right w:val="nil"/>
            </w:tcBorders>
            <w:shd w:val="clear" w:color="auto" w:fill="auto"/>
          </w:tcPr>
          <w:p w14:paraId="1922C5E3">
            <w:pPr>
              <w:spacing w:line="600" w:lineRule="exact"/>
              <w:jc w:val="center"/>
              <w:rPr>
                <w:sz w:val="24"/>
                <w:szCs w:val="24"/>
              </w:rPr>
            </w:pPr>
          </w:p>
        </w:tc>
      </w:tr>
      <w:tr w14:paraId="725E14FD">
        <w:tblPrEx>
          <w:tblCellMar>
            <w:top w:w="0" w:type="dxa"/>
            <w:left w:w="108" w:type="dxa"/>
            <w:bottom w:w="0" w:type="dxa"/>
            <w:right w:w="108" w:type="dxa"/>
          </w:tblCellMar>
        </w:tblPrEx>
        <w:trPr>
          <w:jc w:val="center"/>
        </w:trPr>
        <w:tc>
          <w:tcPr>
            <w:tcW w:w="1263" w:type="dxa"/>
            <w:shd w:val="clear" w:color="auto" w:fill="auto"/>
          </w:tcPr>
          <w:p w14:paraId="516F44EA">
            <w:pPr>
              <w:spacing w:line="600" w:lineRule="exact"/>
              <w:jc w:val="distribute"/>
              <w:rPr>
                <w:sz w:val="24"/>
                <w:szCs w:val="24"/>
              </w:rPr>
            </w:pPr>
            <w:r>
              <w:rPr>
                <w:rFonts w:hint="eastAsia"/>
                <w:sz w:val="24"/>
                <w:szCs w:val="24"/>
              </w:rPr>
              <w:t>审定人</w:t>
            </w:r>
          </w:p>
        </w:tc>
        <w:tc>
          <w:tcPr>
            <w:tcW w:w="456" w:type="dxa"/>
            <w:shd w:val="clear" w:color="auto" w:fill="auto"/>
          </w:tcPr>
          <w:p w14:paraId="34B3A691">
            <w:pPr>
              <w:spacing w:line="600" w:lineRule="exact"/>
              <w:rPr>
                <w:sz w:val="24"/>
                <w:szCs w:val="24"/>
              </w:rPr>
            </w:pPr>
            <w:r>
              <w:rPr>
                <w:rFonts w:hint="eastAsia"/>
                <w:sz w:val="24"/>
                <w:szCs w:val="24"/>
              </w:rPr>
              <w:t>：</w:t>
            </w:r>
          </w:p>
        </w:tc>
        <w:tc>
          <w:tcPr>
            <w:tcW w:w="5311" w:type="dxa"/>
            <w:tcBorders>
              <w:top w:val="single" w:color="7F7F7F" w:sz="4" w:space="0"/>
              <w:left w:val="nil"/>
              <w:bottom w:val="single" w:color="7F7F7F" w:sz="4" w:space="0"/>
              <w:right w:val="nil"/>
            </w:tcBorders>
            <w:shd w:val="clear" w:color="auto" w:fill="auto"/>
          </w:tcPr>
          <w:p w14:paraId="6B09CF2E">
            <w:pPr>
              <w:spacing w:line="600" w:lineRule="exact"/>
              <w:jc w:val="center"/>
              <w:rPr>
                <w:sz w:val="24"/>
                <w:szCs w:val="24"/>
              </w:rPr>
            </w:pPr>
          </w:p>
        </w:tc>
      </w:tr>
      <w:tr w14:paraId="28CA953D">
        <w:tblPrEx>
          <w:tblCellMar>
            <w:top w:w="0" w:type="dxa"/>
            <w:left w:w="108" w:type="dxa"/>
            <w:bottom w:w="0" w:type="dxa"/>
            <w:right w:w="108" w:type="dxa"/>
          </w:tblCellMar>
        </w:tblPrEx>
        <w:trPr>
          <w:jc w:val="center"/>
        </w:trPr>
        <w:tc>
          <w:tcPr>
            <w:tcW w:w="1263" w:type="dxa"/>
            <w:shd w:val="clear" w:color="auto" w:fill="auto"/>
          </w:tcPr>
          <w:p w14:paraId="1E5822BA">
            <w:pPr>
              <w:spacing w:line="600" w:lineRule="exact"/>
              <w:jc w:val="distribute"/>
              <w:rPr>
                <w:sz w:val="24"/>
                <w:szCs w:val="24"/>
              </w:rPr>
            </w:pPr>
            <w:r>
              <w:rPr>
                <w:rFonts w:hint="eastAsia"/>
                <w:sz w:val="24"/>
                <w:szCs w:val="24"/>
              </w:rPr>
              <w:t>报告日期</w:t>
            </w:r>
          </w:p>
        </w:tc>
        <w:tc>
          <w:tcPr>
            <w:tcW w:w="456" w:type="dxa"/>
            <w:shd w:val="clear" w:color="auto" w:fill="auto"/>
          </w:tcPr>
          <w:p w14:paraId="3638F3F1">
            <w:pPr>
              <w:spacing w:line="600" w:lineRule="exact"/>
              <w:rPr>
                <w:sz w:val="24"/>
                <w:szCs w:val="24"/>
              </w:rPr>
            </w:pPr>
            <w:r>
              <w:rPr>
                <w:rFonts w:hint="eastAsia"/>
                <w:sz w:val="24"/>
                <w:szCs w:val="24"/>
              </w:rPr>
              <w:t>:</w:t>
            </w:r>
          </w:p>
        </w:tc>
        <w:tc>
          <w:tcPr>
            <w:tcW w:w="5311" w:type="dxa"/>
            <w:tcBorders>
              <w:top w:val="single" w:color="7F7F7F" w:sz="4" w:space="0"/>
              <w:left w:val="nil"/>
              <w:bottom w:val="single" w:color="7F7F7F" w:sz="4" w:space="0"/>
              <w:right w:val="nil"/>
            </w:tcBorders>
            <w:shd w:val="clear" w:color="auto" w:fill="auto"/>
          </w:tcPr>
          <w:p w14:paraId="41F32B22">
            <w:pPr>
              <w:spacing w:line="600" w:lineRule="exact"/>
              <w:jc w:val="center"/>
              <w:rPr>
                <w:sz w:val="24"/>
                <w:szCs w:val="24"/>
              </w:rPr>
            </w:pPr>
            <w:bookmarkStart w:id="8" w:name="计算日期"/>
            <w:r>
              <w:rPr>
                <w:rFonts w:hint="eastAsia"/>
                <w:sz w:val="24"/>
                <w:szCs w:val="24"/>
              </w:rPr>
              <w:t>2026年3月24日</w:t>
            </w:r>
            <w:bookmarkEnd w:id="8"/>
          </w:p>
        </w:tc>
      </w:tr>
    </w:tbl>
    <w:p w14:paraId="757B0F70"/>
    <w:p w14:paraId="0D0C4496"/>
    <w:p w14:paraId="38755479"/>
    <w:tbl>
      <w:tblPr>
        <w:tblStyle w:val="19"/>
        <w:tblW w:w="8340" w:type="dxa"/>
        <w:jc w:val="center"/>
        <w:tblBorders>
          <w:top w:val="single" w:color="auto" w:sz="2"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75"/>
        <w:gridCol w:w="3108"/>
        <w:gridCol w:w="3957"/>
      </w:tblGrid>
      <w:tr w14:paraId="0617D6D9">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6" w:type="dxa"/>
            <w:tcBorders>
              <w:top w:val="single" w:color="auto" w:sz="2" w:space="0"/>
              <w:left w:val="nil"/>
              <w:bottom w:val="nil"/>
              <w:right w:val="nil"/>
            </w:tcBorders>
            <w:shd w:val="clear" w:color="auto" w:fill="auto"/>
            <w:vAlign w:val="bottom"/>
          </w:tcPr>
          <w:p w14:paraId="2AAFDC93">
            <w:pPr>
              <w:spacing w:before="156" w:beforeLines="50" w:line="180" w:lineRule="exact"/>
              <w:jc w:val="distribute"/>
              <w:rPr>
                <w:sz w:val="18"/>
                <w:szCs w:val="18"/>
              </w:rPr>
            </w:pPr>
            <w:r>
              <w:rPr>
                <w:rFonts w:hint="eastAsia"/>
                <w:sz w:val="18"/>
                <w:szCs w:val="18"/>
              </w:rPr>
              <w:t>采用软件</w:t>
            </w:r>
          </w:p>
        </w:tc>
        <w:tc>
          <w:tcPr>
            <w:tcW w:w="3109" w:type="dxa"/>
            <w:tcBorders>
              <w:top w:val="single" w:color="auto" w:sz="2" w:space="0"/>
              <w:left w:val="nil"/>
              <w:bottom w:val="nil"/>
              <w:right w:val="nil"/>
            </w:tcBorders>
            <w:shd w:val="clear" w:color="auto" w:fill="auto"/>
            <w:vAlign w:val="bottom"/>
          </w:tcPr>
          <w:p w14:paraId="37ADC214">
            <w:pPr>
              <w:spacing w:line="180" w:lineRule="exact"/>
              <w:ind w:right="-105" w:rightChars="-50"/>
              <w:rPr>
                <w:sz w:val="18"/>
                <w:szCs w:val="18"/>
              </w:rPr>
            </w:pPr>
            <w:r>
              <w:rPr>
                <w:rFonts w:hint="eastAsia"/>
                <w:sz w:val="18"/>
                <w:szCs w:val="18"/>
              </w:rPr>
              <w:t>：</w:t>
            </w:r>
            <w:bookmarkStart w:id="9" w:name="采用软件"/>
            <w:r>
              <w:rPr>
                <w:rFonts w:hint="eastAsia"/>
                <w:sz w:val="18"/>
                <w:szCs w:val="18"/>
              </w:rPr>
              <w:t>采光分析DALI2025</w:t>
            </w:r>
            <w:bookmarkEnd w:id="9"/>
          </w:p>
        </w:tc>
        <w:tc>
          <w:tcPr>
            <w:tcW w:w="3958" w:type="dxa"/>
            <w:vMerge w:val="restart"/>
            <w:tcBorders>
              <w:top w:val="single" w:color="auto" w:sz="2" w:space="0"/>
              <w:left w:val="nil"/>
              <w:bottom w:val="nil"/>
              <w:right w:val="nil"/>
            </w:tcBorders>
            <w:shd w:val="clear" w:color="auto" w:fill="auto"/>
            <w:vAlign w:val="bottom"/>
          </w:tcPr>
          <w:p w14:paraId="1FFB4878">
            <w:pPr>
              <w:ind w:left="-246" w:leftChars="-117"/>
              <w:jc w:val="right"/>
              <w:rPr>
                <w:color w:val="767171"/>
              </w:rPr>
            </w:pPr>
            <w:r>
              <w:drawing>
                <wp:inline distT="0" distB="0" distL="114300" distR="114300">
                  <wp:extent cx="1965325" cy="504825"/>
                  <wp:effectExtent l="0" t="0" r="635" b="1333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9"/>
                          <a:stretch>
                            <a:fillRect/>
                          </a:stretch>
                        </pic:blipFill>
                        <pic:spPr>
                          <a:xfrm>
                            <a:off x="0" y="0"/>
                            <a:ext cx="1965325" cy="504825"/>
                          </a:xfrm>
                          <a:prstGeom prst="rect">
                            <a:avLst/>
                          </a:prstGeom>
                          <a:noFill/>
                          <a:ln>
                            <a:noFill/>
                          </a:ln>
                        </pic:spPr>
                      </pic:pic>
                    </a:graphicData>
                  </a:graphic>
                </wp:inline>
              </w:drawing>
            </w:r>
          </w:p>
        </w:tc>
      </w:tr>
      <w:tr w14:paraId="38B09C49">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6" w:type="dxa"/>
            <w:tcBorders>
              <w:top w:val="nil"/>
              <w:left w:val="nil"/>
              <w:bottom w:val="nil"/>
              <w:right w:val="nil"/>
            </w:tcBorders>
            <w:shd w:val="clear" w:color="auto" w:fill="auto"/>
            <w:vAlign w:val="bottom"/>
          </w:tcPr>
          <w:p w14:paraId="5B99FF99">
            <w:pPr>
              <w:spacing w:line="180" w:lineRule="exact"/>
              <w:jc w:val="distribute"/>
              <w:rPr>
                <w:sz w:val="18"/>
                <w:szCs w:val="18"/>
              </w:rPr>
            </w:pPr>
            <w:r>
              <w:rPr>
                <w:rFonts w:hint="eastAsia"/>
                <w:sz w:val="18"/>
                <w:szCs w:val="18"/>
              </w:rPr>
              <w:t>软件版本</w:t>
            </w:r>
          </w:p>
        </w:tc>
        <w:tc>
          <w:tcPr>
            <w:tcW w:w="3109" w:type="dxa"/>
            <w:tcBorders>
              <w:top w:val="nil"/>
              <w:left w:val="nil"/>
              <w:bottom w:val="nil"/>
              <w:right w:val="nil"/>
            </w:tcBorders>
            <w:shd w:val="clear" w:color="auto" w:fill="auto"/>
            <w:vAlign w:val="bottom"/>
          </w:tcPr>
          <w:p w14:paraId="3DEF7656">
            <w:pPr>
              <w:spacing w:line="180" w:lineRule="exact"/>
              <w:rPr>
                <w:sz w:val="18"/>
                <w:szCs w:val="18"/>
              </w:rPr>
            </w:pPr>
            <w:r>
              <w:rPr>
                <w:rFonts w:hint="eastAsia"/>
                <w:sz w:val="18"/>
                <w:szCs w:val="18"/>
              </w:rPr>
              <w:t>：</w:t>
            </w:r>
            <w:bookmarkStart w:id="10" w:name="软件版本"/>
            <w:r>
              <w:rPr>
                <w:rFonts w:hint="eastAsia"/>
                <w:sz w:val="18"/>
                <w:szCs w:val="18"/>
              </w:rPr>
              <w:t>20250505(PLUS)</w:t>
            </w:r>
            <w:bookmarkEnd w:id="10"/>
          </w:p>
        </w:tc>
        <w:tc>
          <w:tcPr>
            <w:tcW w:w="3958" w:type="dxa"/>
            <w:vMerge w:val="continue"/>
            <w:tcBorders>
              <w:top w:val="single" w:color="auto" w:sz="2" w:space="0"/>
              <w:left w:val="nil"/>
              <w:bottom w:val="nil"/>
              <w:right w:val="nil"/>
            </w:tcBorders>
            <w:shd w:val="clear" w:color="auto" w:fill="auto"/>
            <w:vAlign w:val="center"/>
          </w:tcPr>
          <w:p w14:paraId="269B8E58">
            <w:pPr>
              <w:spacing w:line="360" w:lineRule="exact"/>
              <w:rPr>
                <w:rFonts w:ascii="Calibri" w:hAnsi="Calibri" w:eastAsia="宋体"/>
                <w:color w:val="767171"/>
                <w:kern w:val="2"/>
                <w:szCs w:val="22"/>
              </w:rPr>
            </w:pPr>
          </w:p>
        </w:tc>
      </w:tr>
      <w:tr w14:paraId="0AAB855B">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6" w:type="dxa"/>
            <w:tcBorders>
              <w:top w:val="nil"/>
              <w:left w:val="nil"/>
              <w:bottom w:val="nil"/>
              <w:right w:val="nil"/>
            </w:tcBorders>
            <w:shd w:val="clear" w:color="auto" w:fill="auto"/>
            <w:vAlign w:val="bottom"/>
          </w:tcPr>
          <w:p w14:paraId="6A687FF2">
            <w:pPr>
              <w:spacing w:line="180" w:lineRule="exact"/>
              <w:jc w:val="distribute"/>
              <w:rPr>
                <w:sz w:val="18"/>
                <w:szCs w:val="18"/>
              </w:rPr>
            </w:pPr>
            <w:r>
              <w:rPr>
                <w:rFonts w:hint="eastAsia"/>
                <w:sz w:val="18"/>
                <w:szCs w:val="18"/>
              </w:rPr>
              <w:t>正版授权码</w:t>
            </w:r>
          </w:p>
        </w:tc>
        <w:tc>
          <w:tcPr>
            <w:tcW w:w="3109" w:type="dxa"/>
            <w:tcBorders>
              <w:top w:val="nil"/>
              <w:left w:val="nil"/>
              <w:bottom w:val="nil"/>
              <w:right w:val="nil"/>
            </w:tcBorders>
            <w:shd w:val="clear" w:color="auto" w:fill="auto"/>
            <w:vAlign w:val="bottom"/>
          </w:tcPr>
          <w:p w14:paraId="4601688A">
            <w:pPr>
              <w:spacing w:line="180" w:lineRule="exact"/>
              <w:rPr>
                <w:sz w:val="18"/>
                <w:szCs w:val="18"/>
              </w:rPr>
            </w:pPr>
            <w:r>
              <w:rPr>
                <w:rFonts w:hint="eastAsia"/>
                <w:sz w:val="18"/>
                <w:szCs w:val="18"/>
              </w:rPr>
              <w:t>：</w:t>
            </w:r>
            <w:bookmarkStart w:id="11" w:name="正版授权码"/>
            <w:r>
              <w:rPr>
                <w:rFonts w:hint="eastAsia"/>
                <w:sz w:val="18"/>
                <w:szCs w:val="18"/>
              </w:rPr>
              <w:t>T13341326000</w:t>
            </w:r>
            <w:bookmarkEnd w:id="11"/>
          </w:p>
        </w:tc>
        <w:tc>
          <w:tcPr>
            <w:tcW w:w="3958" w:type="dxa"/>
            <w:vMerge w:val="continue"/>
            <w:tcBorders>
              <w:top w:val="single" w:color="auto" w:sz="2" w:space="0"/>
              <w:left w:val="nil"/>
              <w:bottom w:val="nil"/>
              <w:right w:val="nil"/>
            </w:tcBorders>
            <w:shd w:val="clear" w:color="auto" w:fill="auto"/>
            <w:vAlign w:val="center"/>
          </w:tcPr>
          <w:p w14:paraId="3F14591D">
            <w:pPr>
              <w:spacing w:line="360" w:lineRule="exact"/>
              <w:rPr>
                <w:rFonts w:ascii="Calibri" w:hAnsi="Calibri" w:eastAsia="宋体"/>
                <w:color w:val="767171"/>
                <w:kern w:val="2"/>
                <w:szCs w:val="22"/>
              </w:rPr>
            </w:pPr>
          </w:p>
        </w:tc>
      </w:tr>
      <w:tr w14:paraId="42E47CDA">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6" w:type="dxa"/>
            <w:tcBorders>
              <w:top w:val="nil"/>
              <w:left w:val="nil"/>
              <w:bottom w:val="nil"/>
              <w:right w:val="nil"/>
            </w:tcBorders>
            <w:shd w:val="clear" w:color="auto" w:fill="auto"/>
            <w:vAlign w:val="bottom"/>
          </w:tcPr>
          <w:p w14:paraId="7127A309">
            <w:pPr>
              <w:spacing w:line="180" w:lineRule="exact"/>
              <w:jc w:val="distribute"/>
              <w:rPr>
                <w:sz w:val="18"/>
                <w:szCs w:val="18"/>
              </w:rPr>
            </w:pPr>
            <w:r>
              <w:rPr>
                <w:rFonts w:hint="eastAsia"/>
                <w:sz w:val="18"/>
                <w:szCs w:val="18"/>
              </w:rPr>
              <w:t>研发单位</w:t>
            </w:r>
          </w:p>
        </w:tc>
        <w:tc>
          <w:tcPr>
            <w:tcW w:w="3109" w:type="dxa"/>
            <w:tcBorders>
              <w:top w:val="nil"/>
              <w:left w:val="nil"/>
              <w:bottom w:val="nil"/>
              <w:right w:val="nil"/>
            </w:tcBorders>
            <w:shd w:val="clear" w:color="auto" w:fill="auto"/>
            <w:vAlign w:val="bottom"/>
          </w:tcPr>
          <w:p w14:paraId="18A68C34">
            <w:pPr>
              <w:spacing w:line="180" w:lineRule="exact"/>
              <w:rPr>
                <w:sz w:val="18"/>
                <w:szCs w:val="18"/>
              </w:rPr>
            </w:pPr>
            <w:r>
              <w:rPr>
                <w:rFonts w:hint="eastAsia"/>
                <w:sz w:val="18"/>
                <w:szCs w:val="18"/>
              </w:rPr>
              <w:t>：北京绿建软件股份有限公司</w:t>
            </w:r>
          </w:p>
        </w:tc>
        <w:tc>
          <w:tcPr>
            <w:tcW w:w="3958" w:type="dxa"/>
            <w:vMerge w:val="continue"/>
            <w:tcBorders>
              <w:top w:val="single" w:color="auto" w:sz="2" w:space="0"/>
              <w:left w:val="nil"/>
              <w:bottom w:val="nil"/>
              <w:right w:val="nil"/>
            </w:tcBorders>
            <w:shd w:val="clear" w:color="auto" w:fill="auto"/>
            <w:vAlign w:val="center"/>
          </w:tcPr>
          <w:p w14:paraId="485D6B26">
            <w:pPr>
              <w:spacing w:line="360" w:lineRule="exact"/>
              <w:rPr>
                <w:rFonts w:ascii="Calibri" w:hAnsi="Calibri" w:eastAsia="宋体"/>
                <w:color w:val="767171"/>
                <w:kern w:val="2"/>
                <w:szCs w:val="22"/>
              </w:rPr>
            </w:pPr>
          </w:p>
        </w:tc>
      </w:tr>
    </w:tbl>
    <w:p w14:paraId="5932101F">
      <w:pPr>
        <w:rPr>
          <w:rFonts w:hint="eastAsia"/>
        </w:rPr>
        <w:sectPr>
          <w:headerReference r:id="rId3" w:type="default"/>
          <w:footerReference r:id="rId4" w:type="default"/>
          <w:pgSz w:w="11906" w:h="16838"/>
          <w:pgMar w:top="1440" w:right="1418" w:bottom="142" w:left="1418" w:header="851" w:footer="992" w:gutter="0"/>
          <w:cols w:space="425" w:num="1"/>
          <w:titlePg/>
          <w:docGrid w:type="lines" w:linePitch="312" w:charSpace="0"/>
        </w:sectPr>
      </w:pPr>
    </w:p>
    <w:p w14:paraId="486FBE8D">
      <w:pPr>
        <w:jc w:val="center"/>
        <w:rPr>
          <w:sz w:val="28"/>
          <w:szCs w:val="28"/>
        </w:rPr>
      </w:pPr>
      <w:bookmarkStart w:id="12" w:name="目录"/>
      <w:r>
        <w:rPr>
          <w:rFonts w:hint="eastAsia"/>
          <w:sz w:val="28"/>
          <w:szCs w:val="28"/>
        </w:rPr>
        <w:t>目  录</w:t>
      </w:r>
    </w:p>
    <w:p w14:paraId="51CAE194">
      <w:pPr>
        <w:pStyle w:val="17"/>
        <w:tabs>
          <w:tab w:val="right" w:leader="dot" w:pos="9070"/>
          <w:tab w:val="clear" w:pos="180"/>
          <w:tab w:val="clear" w:pos="420"/>
          <w:tab w:val="clear" w:pos="9360"/>
        </w:tabs>
      </w:pPr>
      <w:r>
        <w:rPr>
          <w:sz w:val="28"/>
          <w:szCs w:val="28"/>
        </w:rPr>
        <w:fldChar w:fldCharType="begin"/>
      </w:r>
      <w:r>
        <w:rPr>
          <w:sz w:val="28"/>
          <w:szCs w:val="28"/>
        </w:rPr>
        <w:instrText xml:space="preserve"> </w:instrText>
      </w:r>
      <w:r>
        <w:rPr>
          <w:rFonts w:hint="eastAsia"/>
          <w:sz w:val="28"/>
          <w:szCs w:val="28"/>
        </w:rPr>
        <w:instrText xml:space="preserve">TOC \o "1-3" \h \z \u</w:instrText>
      </w:r>
      <w:r>
        <w:rPr>
          <w:sz w:val="28"/>
          <w:szCs w:val="28"/>
        </w:rPr>
        <w:instrText xml:space="preserve"> </w:instrText>
      </w:r>
      <w:r>
        <w:rPr>
          <w:sz w:val="28"/>
          <w:szCs w:val="28"/>
        </w:rPr>
        <w:fldChar w:fldCharType="separate"/>
      </w:r>
      <w:r>
        <w:rPr>
          <w:szCs w:val="28"/>
        </w:rPr>
        <w:fldChar w:fldCharType="begin"/>
      </w:r>
      <w:r>
        <w:rPr>
          <w:szCs w:val="28"/>
        </w:rPr>
        <w:instrText xml:space="preserve"> HYPERLINK \l _Toc14545 </w:instrText>
      </w:r>
      <w:r>
        <w:rPr>
          <w:szCs w:val="28"/>
        </w:rPr>
        <w:fldChar w:fldCharType="separate"/>
      </w:r>
      <w:r>
        <w:rPr>
          <w:rFonts w:hint="eastAsia"/>
        </w:rPr>
        <w:t>1. 建筑概况</w:t>
      </w:r>
      <w:r>
        <w:tab/>
      </w:r>
      <w:r>
        <w:fldChar w:fldCharType="begin"/>
      </w:r>
      <w:r>
        <w:instrText xml:space="preserve"> PAGEREF _Toc14545 \h </w:instrText>
      </w:r>
      <w:r>
        <w:fldChar w:fldCharType="separate"/>
      </w:r>
      <w:r>
        <w:t>3</w:t>
      </w:r>
      <w:r>
        <w:fldChar w:fldCharType="end"/>
      </w:r>
      <w:r>
        <w:rPr>
          <w:szCs w:val="28"/>
        </w:rPr>
        <w:fldChar w:fldCharType="end"/>
      </w:r>
    </w:p>
    <w:p w14:paraId="05789226">
      <w:pPr>
        <w:pStyle w:val="17"/>
        <w:tabs>
          <w:tab w:val="right" w:leader="dot" w:pos="9070"/>
          <w:tab w:val="clear" w:pos="180"/>
          <w:tab w:val="clear" w:pos="420"/>
          <w:tab w:val="clear" w:pos="9360"/>
        </w:tabs>
      </w:pPr>
      <w:r>
        <w:rPr>
          <w:szCs w:val="28"/>
        </w:rPr>
        <w:fldChar w:fldCharType="begin"/>
      </w:r>
      <w:r>
        <w:rPr>
          <w:szCs w:val="28"/>
        </w:rPr>
        <w:instrText xml:space="preserve"> HYPERLINK \l _Toc25121 </w:instrText>
      </w:r>
      <w:r>
        <w:rPr>
          <w:szCs w:val="28"/>
        </w:rPr>
        <w:fldChar w:fldCharType="separate"/>
      </w:r>
      <w:r>
        <w:rPr>
          <w:rFonts w:hint="eastAsia"/>
        </w:rPr>
        <w:t>2. 分析目的</w:t>
      </w:r>
      <w:r>
        <w:tab/>
      </w:r>
      <w:r>
        <w:fldChar w:fldCharType="begin"/>
      </w:r>
      <w:r>
        <w:instrText xml:space="preserve"> PAGEREF _Toc25121 \h </w:instrText>
      </w:r>
      <w:r>
        <w:fldChar w:fldCharType="separate"/>
      </w:r>
      <w:r>
        <w:t>3</w:t>
      </w:r>
      <w:r>
        <w:fldChar w:fldCharType="end"/>
      </w:r>
      <w:r>
        <w:rPr>
          <w:szCs w:val="28"/>
        </w:rPr>
        <w:fldChar w:fldCharType="end"/>
      </w:r>
    </w:p>
    <w:p w14:paraId="7DF1ADC6">
      <w:pPr>
        <w:pStyle w:val="17"/>
        <w:tabs>
          <w:tab w:val="right" w:leader="dot" w:pos="9070"/>
          <w:tab w:val="clear" w:pos="180"/>
          <w:tab w:val="clear" w:pos="420"/>
          <w:tab w:val="clear" w:pos="9360"/>
        </w:tabs>
      </w:pPr>
      <w:r>
        <w:rPr>
          <w:szCs w:val="28"/>
        </w:rPr>
        <w:fldChar w:fldCharType="begin"/>
      </w:r>
      <w:r>
        <w:rPr>
          <w:szCs w:val="28"/>
        </w:rPr>
        <w:instrText xml:space="preserve"> HYPERLINK \l _Toc3494 </w:instrText>
      </w:r>
      <w:r>
        <w:rPr>
          <w:szCs w:val="28"/>
        </w:rPr>
        <w:fldChar w:fldCharType="separate"/>
      </w:r>
      <w:r>
        <w:rPr>
          <w:rFonts w:hint="eastAsia"/>
        </w:rPr>
        <w:t>3. 分析依据</w:t>
      </w:r>
      <w:r>
        <w:tab/>
      </w:r>
      <w:r>
        <w:fldChar w:fldCharType="begin"/>
      </w:r>
      <w:r>
        <w:instrText xml:space="preserve"> PAGEREF _Toc3494 \h </w:instrText>
      </w:r>
      <w:r>
        <w:fldChar w:fldCharType="separate"/>
      </w:r>
      <w:r>
        <w:t>3</w:t>
      </w:r>
      <w:r>
        <w:fldChar w:fldCharType="end"/>
      </w:r>
      <w:r>
        <w:rPr>
          <w:szCs w:val="28"/>
        </w:rPr>
        <w:fldChar w:fldCharType="end"/>
      </w:r>
    </w:p>
    <w:p w14:paraId="66F68C98">
      <w:pPr>
        <w:pStyle w:val="18"/>
        <w:tabs>
          <w:tab w:val="right" w:leader="dot" w:pos="9070"/>
          <w:tab w:val="clear" w:pos="540"/>
          <w:tab w:val="clear" w:pos="567"/>
          <w:tab w:val="clear" w:pos="9360"/>
        </w:tabs>
      </w:pPr>
      <w:r>
        <w:rPr>
          <w:szCs w:val="28"/>
        </w:rPr>
        <w:fldChar w:fldCharType="begin"/>
      </w:r>
      <w:r>
        <w:rPr>
          <w:szCs w:val="28"/>
        </w:rPr>
        <w:instrText xml:space="preserve"> HYPERLINK \l _Toc5094 </w:instrText>
      </w:r>
      <w:r>
        <w:rPr>
          <w:szCs w:val="28"/>
        </w:rPr>
        <w:fldChar w:fldCharType="separate"/>
      </w:r>
      <w:r>
        <w:rPr>
          <w:rFonts w:hint="eastAsia"/>
          <w:lang w:val="en-GB"/>
        </w:rPr>
        <w:t xml:space="preserve">3.1 </w:t>
      </w:r>
      <w:r>
        <w:rPr>
          <w:rFonts w:hint="eastAsia"/>
        </w:rPr>
        <w:t>评价依据</w:t>
      </w:r>
      <w:r>
        <w:tab/>
      </w:r>
      <w:r>
        <w:fldChar w:fldCharType="begin"/>
      </w:r>
      <w:r>
        <w:instrText xml:space="preserve"> PAGEREF _Toc5094 \h </w:instrText>
      </w:r>
      <w:r>
        <w:fldChar w:fldCharType="separate"/>
      </w:r>
      <w:r>
        <w:t>3</w:t>
      </w:r>
      <w:r>
        <w:fldChar w:fldCharType="end"/>
      </w:r>
      <w:r>
        <w:rPr>
          <w:szCs w:val="28"/>
        </w:rPr>
        <w:fldChar w:fldCharType="end"/>
      </w:r>
    </w:p>
    <w:p w14:paraId="0D06E2FF">
      <w:pPr>
        <w:pStyle w:val="18"/>
        <w:tabs>
          <w:tab w:val="right" w:leader="dot" w:pos="9070"/>
          <w:tab w:val="clear" w:pos="540"/>
          <w:tab w:val="clear" w:pos="567"/>
          <w:tab w:val="clear" w:pos="9360"/>
        </w:tabs>
      </w:pPr>
      <w:r>
        <w:rPr>
          <w:szCs w:val="28"/>
        </w:rPr>
        <w:fldChar w:fldCharType="begin"/>
      </w:r>
      <w:r>
        <w:rPr>
          <w:szCs w:val="28"/>
        </w:rPr>
        <w:instrText xml:space="preserve"> HYPERLINK \l _Toc10541 </w:instrText>
      </w:r>
      <w:r>
        <w:rPr>
          <w:szCs w:val="28"/>
        </w:rPr>
        <w:fldChar w:fldCharType="separate"/>
      </w:r>
      <w:r>
        <w:rPr>
          <w:rFonts w:hint="eastAsia"/>
          <w:lang w:val="en-GB"/>
        </w:rPr>
        <w:t xml:space="preserve">3.2 </w:t>
      </w:r>
      <w:r>
        <w:rPr>
          <w:rFonts w:hint="eastAsia"/>
        </w:rPr>
        <w:t>标准要求</w:t>
      </w:r>
      <w:r>
        <w:tab/>
      </w:r>
      <w:r>
        <w:fldChar w:fldCharType="begin"/>
      </w:r>
      <w:r>
        <w:instrText xml:space="preserve"> PAGEREF _Toc10541 \h </w:instrText>
      </w:r>
      <w:r>
        <w:fldChar w:fldCharType="separate"/>
      </w:r>
      <w:r>
        <w:t>3</w:t>
      </w:r>
      <w:r>
        <w:fldChar w:fldCharType="end"/>
      </w:r>
      <w:r>
        <w:rPr>
          <w:szCs w:val="28"/>
        </w:rPr>
        <w:fldChar w:fldCharType="end"/>
      </w:r>
    </w:p>
    <w:p w14:paraId="43ACF1B3">
      <w:pPr>
        <w:pStyle w:val="17"/>
        <w:tabs>
          <w:tab w:val="right" w:leader="dot" w:pos="9070"/>
          <w:tab w:val="clear" w:pos="180"/>
          <w:tab w:val="clear" w:pos="420"/>
          <w:tab w:val="clear" w:pos="9360"/>
        </w:tabs>
      </w:pPr>
      <w:r>
        <w:rPr>
          <w:szCs w:val="28"/>
        </w:rPr>
        <w:fldChar w:fldCharType="begin"/>
      </w:r>
      <w:r>
        <w:rPr>
          <w:szCs w:val="28"/>
        </w:rPr>
        <w:instrText xml:space="preserve"> HYPERLINK \l _Toc27123 </w:instrText>
      </w:r>
      <w:r>
        <w:rPr>
          <w:szCs w:val="28"/>
        </w:rPr>
        <w:fldChar w:fldCharType="separate"/>
      </w:r>
      <w:r>
        <w:rPr>
          <w:rFonts w:hint="eastAsia"/>
        </w:rPr>
        <w:t>4. 应用软件与计算方法</w:t>
      </w:r>
      <w:r>
        <w:tab/>
      </w:r>
      <w:r>
        <w:fldChar w:fldCharType="begin"/>
      </w:r>
      <w:r>
        <w:instrText xml:space="preserve"> PAGEREF _Toc27123 \h </w:instrText>
      </w:r>
      <w:r>
        <w:fldChar w:fldCharType="separate"/>
      </w:r>
      <w:r>
        <w:t>4</w:t>
      </w:r>
      <w:r>
        <w:fldChar w:fldCharType="end"/>
      </w:r>
      <w:r>
        <w:rPr>
          <w:szCs w:val="28"/>
        </w:rPr>
        <w:fldChar w:fldCharType="end"/>
      </w:r>
    </w:p>
    <w:p w14:paraId="41724AC1">
      <w:pPr>
        <w:pStyle w:val="18"/>
        <w:tabs>
          <w:tab w:val="right" w:leader="dot" w:pos="9070"/>
          <w:tab w:val="clear" w:pos="540"/>
          <w:tab w:val="clear" w:pos="567"/>
          <w:tab w:val="clear" w:pos="9360"/>
        </w:tabs>
      </w:pPr>
      <w:r>
        <w:rPr>
          <w:szCs w:val="28"/>
        </w:rPr>
        <w:fldChar w:fldCharType="begin"/>
      </w:r>
      <w:r>
        <w:rPr>
          <w:szCs w:val="28"/>
        </w:rPr>
        <w:instrText xml:space="preserve"> HYPERLINK \l _Toc31676 </w:instrText>
      </w:r>
      <w:r>
        <w:rPr>
          <w:szCs w:val="28"/>
        </w:rPr>
        <w:fldChar w:fldCharType="separate"/>
      </w:r>
      <w:r>
        <w:rPr>
          <w:rFonts w:hint="eastAsia"/>
          <w:lang w:val="en-GB"/>
        </w:rPr>
        <w:t xml:space="preserve">4.1 </w:t>
      </w:r>
      <w:r>
        <w:t>软件</w:t>
      </w:r>
      <w:r>
        <w:rPr>
          <w:rFonts w:hint="eastAsia"/>
        </w:rPr>
        <w:t>选用</w:t>
      </w:r>
      <w:r>
        <w:tab/>
      </w:r>
      <w:r>
        <w:fldChar w:fldCharType="begin"/>
      </w:r>
      <w:r>
        <w:instrText xml:space="preserve"> PAGEREF _Toc31676 \h </w:instrText>
      </w:r>
      <w:r>
        <w:fldChar w:fldCharType="separate"/>
      </w:r>
      <w:r>
        <w:t>4</w:t>
      </w:r>
      <w:r>
        <w:fldChar w:fldCharType="end"/>
      </w:r>
      <w:r>
        <w:rPr>
          <w:szCs w:val="28"/>
        </w:rPr>
        <w:fldChar w:fldCharType="end"/>
      </w:r>
    </w:p>
    <w:p w14:paraId="1BECBA21">
      <w:pPr>
        <w:pStyle w:val="18"/>
        <w:tabs>
          <w:tab w:val="right" w:leader="dot" w:pos="9070"/>
          <w:tab w:val="clear" w:pos="540"/>
          <w:tab w:val="clear" w:pos="567"/>
          <w:tab w:val="clear" w:pos="9360"/>
        </w:tabs>
      </w:pPr>
      <w:r>
        <w:rPr>
          <w:szCs w:val="28"/>
        </w:rPr>
        <w:fldChar w:fldCharType="begin"/>
      </w:r>
      <w:r>
        <w:rPr>
          <w:szCs w:val="28"/>
        </w:rPr>
        <w:instrText xml:space="preserve"> HYPERLINK \l _Toc2117 </w:instrText>
      </w:r>
      <w:r>
        <w:rPr>
          <w:szCs w:val="28"/>
        </w:rPr>
        <w:fldChar w:fldCharType="separate"/>
      </w:r>
      <w:r>
        <w:rPr>
          <w:rFonts w:hint="eastAsia"/>
          <w:lang w:val="en-GB"/>
        </w:rPr>
        <w:t xml:space="preserve">4.2 </w:t>
      </w:r>
      <w:r>
        <w:rPr>
          <w:rFonts w:hint="eastAsia"/>
        </w:rPr>
        <w:t>计算原理</w:t>
      </w:r>
      <w:r>
        <w:tab/>
      </w:r>
      <w:r>
        <w:fldChar w:fldCharType="begin"/>
      </w:r>
      <w:r>
        <w:instrText xml:space="preserve"> PAGEREF _Toc2117 \h </w:instrText>
      </w:r>
      <w:r>
        <w:fldChar w:fldCharType="separate"/>
      </w:r>
      <w:r>
        <w:t>4</w:t>
      </w:r>
      <w:r>
        <w:fldChar w:fldCharType="end"/>
      </w:r>
      <w:r>
        <w:rPr>
          <w:szCs w:val="28"/>
        </w:rPr>
        <w:fldChar w:fldCharType="end"/>
      </w:r>
    </w:p>
    <w:p w14:paraId="3428CBDE">
      <w:pPr>
        <w:pStyle w:val="18"/>
        <w:tabs>
          <w:tab w:val="right" w:leader="dot" w:pos="9070"/>
          <w:tab w:val="clear" w:pos="540"/>
          <w:tab w:val="clear" w:pos="567"/>
          <w:tab w:val="clear" w:pos="9360"/>
        </w:tabs>
      </w:pPr>
      <w:r>
        <w:rPr>
          <w:szCs w:val="28"/>
        </w:rPr>
        <w:fldChar w:fldCharType="begin"/>
      </w:r>
      <w:r>
        <w:rPr>
          <w:szCs w:val="28"/>
        </w:rPr>
        <w:instrText xml:space="preserve"> HYPERLINK \l _Toc8818 </w:instrText>
      </w:r>
      <w:r>
        <w:rPr>
          <w:szCs w:val="28"/>
        </w:rPr>
        <w:fldChar w:fldCharType="separate"/>
      </w:r>
      <w:r>
        <w:rPr>
          <w:rFonts w:hint="eastAsia"/>
          <w:lang w:val="en-GB"/>
        </w:rPr>
        <w:t xml:space="preserve">4.3 </w:t>
      </w:r>
      <w:r>
        <w:rPr>
          <w:rFonts w:hint="eastAsia"/>
        </w:rPr>
        <w:t>计算方法</w:t>
      </w:r>
      <w:r>
        <w:tab/>
      </w:r>
      <w:r>
        <w:fldChar w:fldCharType="begin"/>
      </w:r>
      <w:r>
        <w:instrText xml:space="preserve"> PAGEREF _Toc8818 \h </w:instrText>
      </w:r>
      <w:r>
        <w:fldChar w:fldCharType="separate"/>
      </w:r>
      <w:r>
        <w:t>5</w:t>
      </w:r>
      <w:r>
        <w:fldChar w:fldCharType="end"/>
      </w:r>
      <w:r>
        <w:rPr>
          <w:szCs w:val="28"/>
        </w:rPr>
        <w:fldChar w:fldCharType="end"/>
      </w:r>
    </w:p>
    <w:p w14:paraId="53B7D7C2">
      <w:pPr>
        <w:pStyle w:val="17"/>
        <w:tabs>
          <w:tab w:val="right" w:leader="dot" w:pos="9070"/>
          <w:tab w:val="clear" w:pos="180"/>
          <w:tab w:val="clear" w:pos="420"/>
          <w:tab w:val="clear" w:pos="9360"/>
        </w:tabs>
      </w:pPr>
      <w:r>
        <w:rPr>
          <w:szCs w:val="28"/>
        </w:rPr>
        <w:fldChar w:fldCharType="begin"/>
      </w:r>
      <w:r>
        <w:rPr>
          <w:szCs w:val="28"/>
        </w:rPr>
        <w:instrText xml:space="preserve"> HYPERLINK \l _Toc17475 </w:instrText>
      </w:r>
      <w:r>
        <w:rPr>
          <w:szCs w:val="28"/>
        </w:rPr>
        <w:fldChar w:fldCharType="separate"/>
      </w:r>
      <w:r>
        <w:rPr>
          <w:rFonts w:hint="eastAsia"/>
        </w:rPr>
        <w:t>5. 计算参数选用</w:t>
      </w:r>
      <w:r>
        <w:tab/>
      </w:r>
      <w:r>
        <w:fldChar w:fldCharType="begin"/>
      </w:r>
      <w:r>
        <w:instrText xml:space="preserve"> PAGEREF _Toc17475 \h </w:instrText>
      </w:r>
      <w:r>
        <w:fldChar w:fldCharType="separate"/>
      </w:r>
      <w:r>
        <w:t>5</w:t>
      </w:r>
      <w:r>
        <w:fldChar w:fldCharType="end"/>
      </w:r>
      <w:r>
        <w:rPr>
          <w:szCs w:val="28"/>
        </w:rPr>
        <w:fldChar w:fldCharType="end"/>
      </w:r>
    </w:p>
    <w:p w14:paraId="3E0F8692">
      <w:pPr>
        <w:pStyle w:val="18"/>
        <w:tabs>
          <w:tab w:val="right" w:leader="dot" w:pos="9070"/>
          <w:tab w:val="clear" w:pos="540"/>
          <w:tab w:val="clear" w:pos="567"/>
          <w:tab w:val="clear" w:pos="9360"/>
        </w:tabs>
      </w:pPr>
      <w:r>
        <w:rPr>
          <w:szCs w:val="28"/>
        </w:rPr>
        <w:fldChar w:fldCharType="begin"/>
      </w:r>
      <w:r>
        <w:rPr>
          <w:szCs w:val="28"/>
        </w:rPr>
        <w:instrText xml:space="preserve"> HYPERLINK \l _Toc16057 </w:instrText>
      </w:r>
      <w:r>
        <w:rPr>
          <w:szCs w:val="28"/>
        </w:rPr>
        <w:fldChar w:fldCharType="separate"/>
      </w:r>
      <w:r>
        <w:rPr>
          <w:rFonts w:hint="eastAsia"/>
          <w:lang w:val="en-GB"/>
        </w:rPr>
        <w:t xml:space="preserve">5.1 </w:t>
      </w:r>
      <w:r>
        <w:rPr>
          <w:rFonts w:hint="eastAsia"/>
        </w:rPr>
        <w:t>模拟条件</w:t>
      </w:r>
      <w:r>
        <w:tab/>
      </w:r>
      <w:r>
        <w:fldChar w:fldCharType="begin"/>
      </w:r>
      <w:r>
        <w:instrText xml:space="preserve"> PAGEREF _Toc16057 \h </w:instrText>
      </w:r>
      <w:r>
        <w:fldChar w:fldCharType="separate"/>
      </w:r>
      <w:r>
        <w:t>5</w:t>
      </w:r>
      <w:r>
        <w:fldChar w:fldCharType="end"/>
      </w:r>
      <w:r>
        <w:rPr>
          <w:szCs w:val="28"/>
        </w:rPr>
        <w:fldChar w:fldCharType="end"/>
      </w:r>
    </w:p>
    <w:p w14:paraId="0BB9078C">
      <w:pPr>
        <w:pStyle w:val="18"/>
        <w:tabs>
          <w:tab w:val="right" w:leader="dot" w:pos="9070"/>
          <w:tab w:val="clear" w:pos="540"/>
          <w:tab w:val="clear" w:pos="567"/>
          <w:tab w:val="clear" w:pos="9360"/>
        </w:tabs>
      </w:pPr>
      <w:r>
        <w:rPr>
          <w:szCs w:val="28"/>
        </w:rPr>
        <w:fldChar w:fldCharType="begin"/>
      </w:r>
      <w:r>
        <w:rPr>
          <w:szCs w:val="28"/>
        </w:rPr>
        <w:instrText xml:space="preserve"> HYPERLINK \l _Toc23753 </w:instrText>
      </w:r>
      <w:r>
        <w:rPr>
          <w:szCs w:val="28"/>
        </w:rPr>
        <w:fldChar w:fldCharType="separate"/>
      </w:r>
      <w:r>
        <w:rPr>
          <w:rFonts w:hint="eastAsia"/>
          <w:lang w:val="en-GB"/>
        </w:rPr>
        <w:t xml:space="preserve">5.2 </w:t>
      </w:r>
      <w:r>
        <w:rPr>
          <w:rFonts w:hint="eastAsia"/>
        </w:rPr>
        <w:t>建筑饰面材料参数</w:t>
      </w:r>
      <w:r>
        <w:tab/>
      </w:r>
      <w:r>
        <w:fldChar w:fldCharType="begin"/>
      </w:r>
      <w:r>
        <w:instrText xml:space="preserve"> PAGEREF _Toc23753 \h </w:instrText>
      </w:r>
      <w:r>
        <w:fldChar w:fldCharType="separate"/>
      </w:r>
      <w:r>
        <w:t>6</w:t>
      </w:r>
      <w:r>
        <w:fldChar w:fldCharType="end"/>
      </w:r>
      <w:r>
        <w:rPr>
          <w:szCs w:val="28"/>
        </w:rPr>
        <w:fldChar w:fldCharType="end"/>
      </w:r>
    </w:p>
    <w:p w14:paraId="668F6A4F">
      <w:pPr>
        <w:pStyle w:val="18"/>
        <w:tabs>
          <w:tab w:val="right" w:leader="dot" w:pos="9070"/>
          <w:tab w:val="clear" w:pos="540"/>
          <w:tab w:val="clear" w:pos="567"/>
          <w:tab w:val="clear" w:pos="9360"/>
        </w:tabs>
      </w:pPr>
      <w:r>
        <w:rPr>
          <w:szCs w:val="28"/>
        </w:rPr>
        <w:fldChar w:fldCharType="begin"/>
      </w:r>
      <w:r>
        <w:rPr>
          <w:szCs w:val="28"/>
        </w:rPr>
        <w:instrText xml:space="preserve"> HYPERLINK \l _Toc4785 </w:instrText>
      </w:r>
      <w:r>
        <w:rPr>
          <w:szCs w:val="28"/>
        </w:rPr>
        <w:fldChar w:fldCharType="separate"/>
      </w:r>
      <w:r>
        <w:rPr>
          <w:rFonts w:hint="eastAsia"/>
          <w:lang w:val="en-GB"/>
        </w:rPr>
        <w:t xml:space="preserve">5.3 </w:t>
      </w:r>
      <w:r>
        <w:rPr>
          <w:rFonts w:hint="eastAsia"/>
        </w:rPr>
        <w:t>门窗类型参数</w:t>
      </w:r>
      <w:r>
        <w:tab/>
      </w:r>
      <w:r>
        <w:fldChar w:fldCharType="begin"/>
      </w:r>
      <w:r>
        <w:instrText xml:space="preserve"> PAGEREF _Toc4785 \h </w:instrText>
      </w:r>
      <w:r>
        <w:fldChar w:fldCharType="separate"/>
      </w:r>
      <w:r>
        <w:t>6</w:t>
      </w:r>
      <w:r>
        <w:fldChar w:fldCharType="end"/>
      </w:r>
      <w:r>
        <w:rPr>
          <w:szCs w:val="28"/>
        </w:rPr>
        <w:fldChar w:fldCharType="end"/>
      </w:r>
    </w:p>
    <w:p w14:paraId="35AF934A">
      <w:pPr>
        <w:pStyle w:val="14"/>
        <w:tabs>
          <w:tab w:val="right" w:leader="dot" w:pos="9070"/>
          <w:tab w:val="clear" w:pos="210"/>
          <w:tab w:val="clear" w:pos="900"/>
          <w:tab w:val="clear" w:pos="993"/>
          <w:tab w:val="clear" w:pos="1260"/>
          <w:tab w:val="clear" w:pos="9360"/>
        </w:tabs>
      </w:pPr>
      <w:r>
        <w:rPr>
          <w:szCs w:val="28"/>
        </w:rPr>
        <w:fldChar w:fldCharType="begin"/>
      </w:r>
      <w:r>
        <w:rPr>
          <w:szCs w:val="28"/>
        </w:rPr>
        <w:instrText xml:space="preserve"> HYPERLINK \l _Toc22375 </w:instrText>
      </w:r>
      <w:r>
        <w:rPr>
          <w:szCs w:val="28"/>
        </w:rPr>
        <w:fldChar w:fldCharType="separate"/>
      </w:r>
      <w:r>
        <w:rPr>
          <w:rFonts w:hint="eastAsia" w:ascii="微软雅黑" w:hAnsi="微软雅黑" w:eastAsia="微软雅黑"/>
          <w:szCs w:val="24"/>
          <w:lang w:val="en-GB"/>
        </w:rPr>
        <w:t xml:space="preserve">5.3.1 </w:t>
      </w:r>
      <w:r>
        <w:t>普通</w:t>
      </w:r>
      <w:r>
        <w:rPr>
          <w:rFonts w:hint="eastAsia"/>
        </w:rPr>
        <w:t>窗</w:t>
      </w:r>
      <w:r>
        <w:tab/>
      </w:r>
      <w:r>
        <w:fldChar w:fldCharType="begin"/>
      </w:r>
      <w:r>
        <w:instrText xml:space="preserve"> PAGEREF _Toc22375 \h </w:instrText>
      </w:r>
      <w:r>
        <w:fldChar w:fldCharType="separate"/>
      </w:r>
      <w:r>
        <w:t>6</w:t>
      </w:r>
      <w:r>
        <w:fldChar w:fldCharType="end"/>
      </w:r>
      <w:r>
        <w:rPr>
          <w:szCs w:val="28"/>
        </w:rPr>
        <w:fldChar w:fldCharType="end"/>
      </w:r>
    </w:p>
    <w:p w14:paraId="48C0F121">
      <w:pPr>
        <w:pStyle w:val="14"/>
        <w:tabs>
          <w:tab w:val="right" w:leader="dot" w:pos="9070"/>
          <w:tab w:val="clear" w:pos="210"/>
          <w:tab w:val="clear" w:pos="900"/>
          <w:tab w:val="clear" w:pos="993"/>
          <w:tab w:val="clear" w:pos="1260"/>
          <w:tab w:val="clear" w:pos="9360"/>
        </w:tabs>
      </w:pPr>
      <w:r>
        <w:rPr>
          <w:szCs w:val="28"/>
        </w:rPr>
        <w:fldChar w:fldCharType="begin"/>
      </w:r>
      <w:r>
        <w:rPr>
          <w:szCs w:val="28"/>
        </w:rPr>
        <w:instrText xml:space="preserve"> HYPERLINK \l _Toc20969 </w:instrText>
      </w:r>
      <w:r>
        <w:rPr>
          <w:szCs w:val="28"/>
        </w:rPr>
        <w:fldChar w:fldCharType="separate"/>
      </w:r>
      <w:r>
        <w:rPr>
          <w:rFonts w:hint="eastAsia" w:ascii="微软雅黑" w:hAnsi="微软雅黑" w:eastAsia="微软雅黑"/>
          <w:szCs w:val="24"/>
          <w:lang w:val="en-GB"/>
        </w:rPr>
        <w:t xml:space="preserve">5.3.2 </w:t>
      </w:r>
      <w:r>
        <w:rPr>
          <w:rFonts w:hint="eastAsia"/>
        </w:rPr>
        <w:t>玻璃幕墙</w:t>
      </w:r>
      <w:r>
        <w:tab/>
      </w:r>
      <w:r>
        <w:fldChar w:fldCharType="begin"/>
      </w:r>
      <w:r>
        <w:instrText xml:space="preserve"> PAGEREF _Toc20969 \h </w:instrText>
      </w:r>
      <w:r>
        <w:fldChar w:fldCharType="separate"/>
      </w:r>
      <w:r>
        <w:t>6</w:t>
      </w:r>
      <w:r>
        <w:fldChar w:fldCharType="end"/>
      </w:r>
      <w:r>
        <w:rPr>
          <w:szCs w:val="28"/>
        </w:rPr>
        <w:fldChar w:fldCharType="end"/>
      </w:r>
    </w:p>
    <w:p w14:paraId="5C5186AB">
      <w:pPr>
        <w:pStyle w:val="14"/>
        <w:tabs>
          <w:tab w:val="right" w:leader="dot" w:pos="9070"/>
          <w:tab w:val="clear" w:pos="210"/>
          <w:tab w:val="clear" w:pos="900"/>
          <w:tab w:val="clear" w:pos="993"/>
          <w:tab w:val="clear" w:pos="1260"/>
          <w:tab w:val="clear" w:pos="9360"/>
        </w:tabs>
      </w:pPr>
      <w:r>
        <w:rPr>
          <w:szCs w:val="28"/>
        </w:rPr>
        <w:fldChar w:fldCharType="begin"/>
      </w:r>
      <w:r>
        <w:rPr>
          <w:szCs w:val="28"/>
        </w:rPr>
        <w:instrText xml:space="preserve"> HYPERLINK \l _Toc21667 </w:instrText>
      </w:r>
      <w:r>
        <w:rPr>
          <w:szCs w:val="28"/>
        </w:rPr>
        <w:fldChar w:fldCharType="separate"/>
      </w:r>
      <w:r>
        <w:rPr>
          <w:rFonts w:hint="eastAsia" w:ascii="微软雅黑" w:hAnsi="微软雅黑" w:eastAsia="微软雅黑"/>
          <w:szCs w:val="24"/>
          <w:lang w:val="en-GB"/>
        </w:rPr>
        <w:t xml:space="preserve">5.3.3 </w:t>
      </w:r>
      <w:r>
        <w:rPr>
          <w:rFonts w:hint="eastAsia"/>
        </w:rPr>
        <w:t xml:space="preserve">天 </w:t>
      </w:r>
      <w:r>
        <w:t xml:space="preserve"> </w:t>
      </w:r>
      <w:r>
        <w:rPr>
          <w:rFonts w:hint="eastAsia"/>
        </w:rPr>
        <w:t>窗</w:t>
      </w:r>
      <w:r>
        <w:tab/>
      </w:r>
      <w:r>
        <w:fldChar w:fldCharType="begin"/>
      </w:r>
      <w:r>
        <w:instrText xml:space="preserve"> PAGEREF _Toc21667 \h </w:instrText>
      </w:r>
      <w:r>
        <w:fldChar w:fldCharType="separate"/>
      </w:r>
      <w:r>
        <w:t>6</w:t>
      </w:r>
      <w:r>
        <w:fldChar w:fldCharType="end"/>
      </w:r>
      <w:r>
        <w:rPr>
          <w:szCs w:val="28"/>
        </w:rPr>
        <w:fldChar w:fldCharType="end"/>
      </w:r>
    </w:p>
    <w:p w14:paraId="3D3919FC">
      <w:pPr>
        <w:pStyle w:val="17"/>
        <w:tabs>
          <w:tab w:val="right" w:leader="dot" w:pos="9070"/>
          <w:tab w:val="clear" w:pos="180"/>
          <w:tab w:val="clear" w:pos="420"/>
          <w:tab w:val="clear" w:pos="9360"/>
        </w:tabs>
      </w:pPr>
      <w:r>
        <w:rPr>
          <w:szCs w:val="28"/>
        </w:rPr>
        <w:fldChar w:fldCharType="begin"/>
      </w:r>
      <w:r>
        <w:rPr>
          <w:szCs w:val="28"/>
        </w:rPr>
        <w:instrText xml:space="preserve"> HYPERLINK \l _Toc20772 </w:instrText>
      </w:r>
      <w:r>
        <w:rPr>
          <w:szCs w:val="28"/>
        </w:rPr>
        <w:fldChar w:fldCharType="separate"/>
      </w:r>
      <w:r>
        <w:rPr>
          <w:rFonts w:hint="eastAsia"/>
        </w:rPr>
        <w:t>6. 分析结果展示</w:t>
      </w:r>
      <w:r>
        <w:tab/>
      </w:r>
      <w:r>
        <w:fldChar w:fldCharType="begin"/>
      </w:r>
      <w:r>
        <w:instrText xml:space="preserve"> PAGEREF _Toc20772 \h </w:instrText>
      </w:r>
      <w:r>
        <w:fldChar w:fldCharType="separate"/>
      </w:r>
      <w:r>
        <w:t>7</w:t>
      </w:r>
      <w:r>
        <w:fldChar w:fldCharType="end"/>
      </w:r>
      <w:r>
        <w:rPr>
          <w:szCs w:val="28"/>
        </w:rPr>
        <w:fldChar w:fldCharType="end"/>
      </w:r>
    </w:p>
    <w:p w14:paraId="6430BC72">
      <w:pPr>
        <w:pStyle w:val="17"/>
        <w:tabs>
          <w:tab w:val="right" w:leader="dot" w:pos="9070"/>
          <w:tab w:val="clear" w:pos="180"/>
          <w:tab w:val="clear" w:pos="420"/>
          <w:tab w:val="clear" w:pos="9360"/>
        </w:tabs>
      </w:pPr>
      <w:r>
        <w:rPr>
          <w:szCs w:val="28"/>
        </w:rPr>
        <w:fldChar w:fldCharType="begin"/>
      </w:r>
      <w:r>
        <w:rPr>
          <w:szCs w:val="28"/>
        </w:rPr>
        <w:instrText xml:space="preserve"> HYPERLINK \l _Toc31554 </w:instrText>
      </w:r>
      <w:r>
        <w:rPr>
          <w:szCs w:val="28"/>
        </w:rPr>
        <w:fldChar w:fldCharType="separate"/>
      </w:r>
      <w:r>
        <w:rPr>
          <w:rFonts w:hint="eastAsia"/>
        </w:rPr>
        <w:t>7. 评价结论</w:t>
      </w:r>
      <w:r>
        <w:tab/>
      </w:r>
      <w:r>
        <w:fldChar w:fldCharType="begin"/>
      </w:r>
      <w:r>
        <w:instrText xml:space="preserve"> PAGEREF _Toc31554 \h </w:instrText>
      </w:r>
      <w:r>
        <w:fldChar w:fldCharType="separate"/>
      </w:r>
      <w:r>
        <w:t>8</w:t>
      </w:r>
      <w:r>
        <w:fldChar w:fldCharType="end"/>
      </w:r>
      <w:r>
        <w:rPr>
          <w:szCs w:val="28"/>
        </w:rPr>
        <w:fldChar w:fldCharType="end"/>
      </w:r>
    </w:p>
    <w:p w14:paraId="37D19570">
      <w:pPr>
        <w:pStyle w:val="17"/>
        <w:tabs>
          <w:tab w:val="right" w:leader="dot" w:pos="9070"/>
          <w:tab w:val="clear" w:pos="180"/>
          <w:tab w:val="clear" w:pos="420"/>
          <w:tab w:val="clear" w:pos="9360"/>
        </w:tabs>
      </w:pPr>
      <w:r>
        <w:rPr>
          <w:szCs w:val="28"/>
        </w:rPr>
        <w:fldChar w:fldCharType="begin"/>
      </w:r>
      <w:r>
        <w:rPr>
          <w:szCs w:val="28"/>
        </w:rPr>
        <w:instrText xml:space="preserve"> HYPERLINK \l _Toc21750 </w:instrText>
      </w:r>
      <w:r>
        <w:rPr>
          <w:szCs w:val="28"/>
        </w:rPr>
        <w:fldChar w:fldCharType="separate"/>
      </w:r>
      <w:r>
        <w:rPr>
          <w:rFonts w:hint="eastAsia" w:ascii="黑体" w:hAnsi="黑体" w:eastAsia="黑体"/>
          <w:szCs w:val="24"/>
          <w:lang w:val="en-US"/>
        </w:rPr>
        <w:t>附件一：项目主要附图</w:t>
      </w:r>
      <w:r>
        <w:tab/>
      </w:r>
      <w:r>
        <w:fldChar w:fldCharType="begin"/>
      </w:r>
      <w:r>
        <w:instrText xml:space="preserve"> PAGEREF _Toc21750 \h </w:instrText>
      </w:r>
      <w:r>
        <w:fldChar w:fldCharType="separate"/>
      </w:r>
      <w:r>
        <w:t>9</w:t>
      </w:r>
      <w:r>
        <w:fldChar w:fldCharType="end"/>
      </w:r>
      <w:r>
        <w:rPr>
          <w:szCs w:val="28"/>
        </w:rPr>
        <w:fldChar w:fldCharType="end"/>
      </w:r>
    </w:p>
    <w:p w14:paraId="7D348C9B">
      <w:pPr>
        <w:rPr>
          <w:sz w:val="28"/>
          <w:szCs w:val="28"/>
        </w:rPr>
        <w:sectPr>
          <w:headerReference r:id="rId5" w:type="first"/>
          <w:pgSz w:w="11906" w:h="16838"/>
          <w:pgMar w:top="1440" w:right="1418" w:bottom="1440" w:left="1418" w:header="851" w:footer="992" w:gutter="0"/>
          <w:cols w:space="425" w:num="1"/>
          <w:titlePg/>
          <w:docGrid w:type="lines" w:linePitch="312" w:charSpace="0"/>
        </w:sectPr>
      </w:pPr>
      <w:r>
        <w:rPr>
          <w:szCs w:val="28"/>
        </w:rPr>
        <w:fldChar w:fldCharType="end"/>
      </w:r>
      <w:bookmarkEnd w:id="12"/>
    </w:p>
    <w:p w14:paraId="18FE47C8">
      <w:pPr>
        <w:pStyle w:val="2"/>
        <w:ind w:left="432" w:hanging="432"/>
      </w:pPr>
      <w:bookmarkStart w:id="13" w:name="_Toc14545"/>
      <w:r>
        <w:rPr>
          <w:rFonts w:hint="eastAsia"/>
        </w:rPr>
        <w:t>建筑概况</w:t>
      </w:r>
      <w:bookmarkEnd w:id="13"/>
    </w:p>
    <w:tbl>
      <w:tblPr>
        <w:tblStyle w:val="19"/>
        <w:tblpPr w:leftFromText="180" w:rightFromText="180" w:vertAnchor="text" w:horzAnchor="margin" w:tblpXSpec="center" w:tblpY="202"/>
        <w:tblW w:w="488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48"/>
        <w:gridCol w:w="2763"/>
        <w:gridCol w:w="1653"/>
        <w:gridCol w:w="2208"/>
      </w:tblGrid>
      <w:tr w14:paraId="4E1C59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8" w:type="dxa"/>
            <w:shd w:val="clear" w:color="auto" w:fill="E6E6E6"/>
          </w:tcPr>
          <w:p w14:paraId="6E148DFC">
            <w:pPr>
              <w:rPr>
                <w:lang w:val="en-US"/>
              </w:rPr>
            </w:pPr>
            <w:r>
              <w:rPr>
                <w:rFonts w:hint="eastAsia"/>
                <w:lang w:val="en-US"/>
              </w:rPr>
              <w:t>项目所在地</w:t>
            </w:r>
          </w:p>
        </w:tc>
        <w:tc>
          <w:tcPr>
            <w:tcW w:w="6624" w:type="dxa"/>
            <w:gridSpan w:val="3"/>
          </w:tcPr>
          <w:p w14:paraId="2597DD95">
            <w:pPr>
              <w:rPr>
                <w:lang w:val="en-US"/>
              </w:rPr>
            </w:pPr>
            <w:bookmarkStart w:id="14" w:name="项目地点"/>
            <w:r>
              <w:t>湘潭</w:t>
            </w:r>
            <w:bookmarkEnd w:id="14"/>
          </w:p>
        </w:tc>
      </w:tr>
      <w:tr w14:paraId="6B74B9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8" w:type="dxa"/>
            <w:shd w:val="clear" w:color="auto" w:fill="E6E6E6"/>
          </w:tcPr>
          <w:p w14:paraId="309A8CFB">
            <w:pPr>
              <w:rPr>
                <w:lang w:val="en-US"/>
              </w:rPr>
            </w:pPr>
            <w:r>
              <w:rPr>
                <w:rFonts w:hint="eastAsia"/>
                <w:lang w:val="en-US"/>
              </w:rPr>
              <w:t>光气候分区</w:t>
            </w:r>
          </w:p>
        </w:tc>
        <w:tc>
          <w:tcPr>
            <w:tcW w:w="2763" w:type="dxa"/>
          </w:tcPr>
          <w:p w14:paraId="341F40E4">
            <w:pPr>
              <w:rPr>
                <w:lang w:val="en-US"/>
              </w:rPr>
            </w:pPr>
            <w:bookmarkStart w:id="15" w:name="光气候分区"/>
            <w:r>
              <w:t>IV</w:t>
            </w:r>
            <w:bookmarkEnd w:id="15"/>
          </w:p>
        </w:tc>
        <w:tc>
          <w:tcPr>
            <w:tcW w:w="1653" w:type="dxa"/>
            <w:shd w:val="clear" w:color="auto" w:fill="E7E6E6"/>
          </w:tcPr>
          <w:p w14:paraId="2E093E26">
            <w:pPr>
              <w:rPr>
                <w:lang w:val="en-US"/>
              </w:rPr>
            </w:pPr>
            <w:r>
              <w:rPr>
                <w:rFonts w:hint="eastAsia"/>
                <w:lang w:val="en-US"/>
              </w:rPr>
              <w:t>光气候系数K</w:t>
            </w:r>
          </w:p>
        </w:tc>
        <w:tc>
          <w:tcPr>
            <w:tcW w:w="2208" w:type="dxa"/>
          </w:tcPr>
          <w:p w14:paraId="33A2110C">
            <w:pPr>
              <w:rPr>
                <w:lang w:val="en-US"/>
              </w:rPr>
            </w:pPr>
            <w:bookmarkStart w:id="16" w:name="光气候系数K"/>
            <w:r>
              <w:t>1.10</w:t>
            </w:r>
            <w:bookmarkEnd w:id="16"/>
          </w:p>
        </w:tc>
      </w:tr>
      <w:tr w14:paraId="46DA3E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8" w:type="dxa"/>
            <w:shd w:val="clear" w:color="auto" w:fill="E6E6E6"/>
          </w:tcPr>
          <w:p w14:paraId="7802E94C">
            <w:pPr>
              <w:rPr>
                <w:lang w:val="en-US"/>
              </w:rPr>
            </w:pPr>
            <w:r>
              <w:rPr>
                <w:rFonts w:hint="eastAsia"/>
                <w:lang w:val="en-US"/>
              </w:rPr>
              <w:t>建筑面积</w:t>
            </w:r>
          </w:p>
        </w:tc>
        <w:tc>
          <w:tcPr>
            <w:tcW w:w="6624" w:type="dxa"/>
            <w:gridSpan w:val="3"/>
          </w:tcPr>
          <w:p w14:paraId="22BCFA47">
            <w:pPr>
              <w:rPr>
                <w:lang w:val="en-US"/>
              </w:rPr>
            </w:pPr>
            <w:r>
              <w:rPr>
                <w:rFonts w:hint="eastAsia"/>
                <w:lang w:val="en-US"/>
              </w:rPr>
              <w:t xml:space="preserve">地上  </w:t>
            </w:r>
            <w:bookmarkStart w:id="17" w:name="地上建筑面积"/>
            <w:r>
              <w:t>134446.85</w:t>
            </w:r>
            <w:bookmarkEnd w:id="17"/>
            <w:r>
              <w:rPr>
                <w:rFonts w:hint="eastAsia"/>
              </w:rPr>
              <w:t>㎡</w:t>
            </w:r>
            <w:r>
              <w:rPr>
                <w:rFonts w:hint="eastAsia"/>
                <w:lang w:val="en-US"/>
              </w:rPr>
              <w:t xml:space="preserve">    地下  </w:t>
            </w:r>
            <w:bookmarkStart w:id="18" w:name="地下建筑面积"/>
            <w:r>
              <w:t>47281.66</w:t>
            </w:r>
            <w:bookmarkEnd w:id="18"/>
            <w:r>
              <w:rPr>
                <w:rFonts w:hint="eastAsia"/>
              </w:rPr>
              <w:t>㎡</w:t>
            </w:r>
          </w:p>
        </w:tc>
      </w:tr>
      <w:tr w14:paraId="0A9D4B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8" w:type="dxa"/>
            <w:shd w:val="clear" w:color="auto" w:fill="E6E6E6"/>
          </w:tcPr>
          <w:p w14:paraId="3D98A945">
            <w:pPr>
              <w:rPr>
                <w:lang w:val="en-US"/>
              </w:rPr>
            </w:pPr>
            <w:r>
              <w:rPr>
                <w:rFonts w:hint="eastAsia"/>
                <w:lang w:val="en-US"/>
              </w:rPr>
              <w:t>建筑层数</w:t>
            </w:r>
          </w:p>
        </w:tc>
        <w:tc>
          <w:tcPr>
            <w:tcW w:w="6624" w:type="dxa"/>
            <w:gridSpan w:val="3"/>
          </w:tcPr>
          <w:p w14:paraId="24A28A38">
            <w:pPr>
              <w:rPr>
                <w:lang w:val="en-US"/>
              </w:rPr>
            </w:pPr>
            <w:r>
              <w:rPr>
                <w:rFonts w:hint="eastAsia"/>
                <w:lang w:val="en-US"/>
              </w:rPr>
              <w:t xml:space="preserve">地上  </w:t>
            </w:r>
            <w:bookmarkStart w:id="19" w:name="地上建筑层数"/>
            <w:r>
              <w:t>34</w:t>
            </w:r>
            <w:bookmarkEnd w:id="19"/>
            <w:r>
              <w:rPr>
                <w:rFonts w:hint="eastAsia"/>
                <w:lang w:val="en-US"/>
              </w:rPr>
              <w:t xml:space="preserve">          地下 </w:t>
            </w:r>
            <w:bookmarkStart w:id="20" w:name="地下建筑层数"/>
            <w:r>
              <w:t>5</w:t>
            </w:r>
            <w:bookmarkEnd w:id="20"/>
          </w:p>
        </w:tc>
      </w:tr>
      <w:tr w14:paraId="5A5DCB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8" w:type="dxa"/>
            <w:shd w:val="clear" w:color="auto" w:fill="E6E6E6"/>
          </w:tcPr>
          <w:p w14:paraId="4F580116">
            <w:pPr>
              <w:rPr>
                <w:lang w:val="en-US"/>
              </w:rPr>
            </w:pPr>
            <w:r>
              <w:rPr>
                <w:rFonts w:hint="eastAsia"/>
                <w:lang w:val="en-US"/>
              </w:rPr>
              <w:t>建筑高度</w:t>
            </w:r>
          </w:p>
        </w:tc>
        <w:tc>
          <w:tcPr>
            <w:tcW w:w="6624" w:type="dxa"/>
            <w:gridSpan w:val="3"/>
          </w:tcPr>
          <w:p w14:paraId="7E2E897F">
            <w:pPr>
              <w:rPr>
                <w:lang w:val="en-US"/>
              </w:rPr>
            </w:pPr>
            <w:r>
              <w:rPr>
                <w:rFonts w:hint="eastAsia"/>
                <w:lang w:val="en-US"/>
              </w:rPr>
              <w:t xml:space="preserve">地上 </w:t>
            </w:r>
            <w:bookmarkStart w:id="21" w:name="地上建筑高度"/>
            <w:r>
              <w:t>139.20</w:t>
            </w:r>
            <w:bookmarkEnd w:id="21"/>
            <w:r>
              <w:rPr>
                <w:rFonts w:hint="eastAsia"/>
                <w:lang w:val="en-US"/>
              </w:rPr>
              <w:t xml:space="preserve"> m     地下  </w:t>
            </w:r>
            <w:bookmarkStart w:id="22" w:name="地下建筑高度"/>
            <w:r>
              <w:t>16.80</w:t>
            </w:r>
            <w:bookmarkEnd w:id="22"/>
            <w:r>
              <w:rPr>
                <w:rFonts w:hint="eastAsia"/>
                <w:lang w:val="en-US"/>
              </w:rPr>
              <w:t>m</w:t>
            </w:r>
          </w:p>
        </w:tc>
      </w:tr>
      <w:tr w14:paraId="54421B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8" w:type="dxa"/>
            <w:shd w:val="clear" w:color="auto" w:fill="E6E6E6"/>
          </w:tcPr>
          <w:p w14:paraId="5B565774">
            <w:pPr>
              <w:rPr>
                <w:lang w:val="en-US"/>
              </w:rPr>
            </w:pPr>
            <w:r>
              <w:rPr>
                <w:rFonts w:hint="eastAsia"/>
              </w:rPr>
              <w:t>备注</w:t>
            </w:r>
          </w:p>
        </w:tc>
        <w:tc>
          <w:tcPr>
            <w:tcW w:w="6624" w:type="dxa"/>
            <w:gridSpan w:val="3"/>
          </w:tcPr>
          <w:p w14:paraId="1A65F3AE">
            <w:pPr>
              <w:rPr>
                <w:lang w:val="en-US"/>
              </w:rPr>
            </w:pPr>
            <w:bookmarkStart w:id="23" w:name="备注"/>
            <w:bookmarkEnd w:id="23"/>
          </w:p>
        </w:tc>
      </w:tr>
    </w:tbl>
    <w:p w14:paraId="4E2B8429">
      <w:pPr>
        <w:pStyle w:val="33"/>
        <w:rPr>
          <w:lang w:val="en-US"/>
        </w:rPr>
      </w:pPr>
    </w:p>
    <w:p w14:paraId="767A04F0">
      <w:pPr>
        <w:pStyle w:val="2"/>
        <w:ind w:left="432" w:hanging="432"/>
      </w:pPr>
      <w:bookmarkStart w:id="24" w:name="_Toc25121"/>
      <w:r>
        <w:rPr>
          <w:rFonts w:hint="eastAsia"/>
        </w:rPr>
        <w:t>分析目的</w:t>
      </w:r>
      <w:bookmarkEnd w:id="24"/>
    </w:p>
    <w:p w14:paraId="421C688B">
      <w:pPr>
        <w:ind w:firstLine="420" w:firstLineChars="200"/>
      </w:pPr>
      <w:r>
        <w:rPr>
          <w:rFonts w:hint="eastAsia"/>
        </w:rPr>
        <w:t>天然光营造的光坏境以经济、自然、宜人、不可替代等特性为人们所习惯和喜爱。各种光源的视觉试验结果表明，在同样照度条件下，天然光的辨认能力优于人工光。天然采光不仅有利于照明节能，而且有利于增加室内外的自然信息交流，改善空间卫生环境，调节空间使用者的心情。在建筑中充分利用天然光，对于创造良好光环境、节约能源、保护环境和构建绿色建筑具有重要意义。</w:t>
      </w:r>
    </w:p>
    <w:p w14:paraId="56E371FD">
      <w:pPr>
        <w:ind w:firstLine="420" w:firstLineChars="200"/>
      </w:pPr>
      <w:r>
        <w:rPr>
          <w:rFonts w:hint="eastAsia"/>
        </w:rPr>
        <w:t>建筑的地下空间容易出现天然采光不足的情况，通过采光井、下沉庭院等设计手法或采用导光管技术，可以有效改善其天然采光效果。绿色建筑评价中对地下空间的采光给出了评分规则，本分析报告以相关标准为依据，通过采用</w:t>
      </w:r>
      <w:r>
        <w:t>Dali</w:t>
      </w:r>
      <w:r>
        <w:rPr>
          <w:rFonts w:hint="eastAsia"/>
        </w:rPr>
        <w:t>软件对</w:t>
      </w:r>
      <w:r>
        <w:rPr>
          <w:u w:val="single"/>
        </w:rPr>
        <w:t xml:space="preserve">  </w:t>
      </w:r>
      <w:bookmarkStart w:id="25" w:name="工程名称1"/>
      <w:bookmarkEnd w:id="25"/>
      <w:r>
        <w:rPr>
          <w:rFonts w:hint="eastAsia"/>
          <w:u w:val="single"/>
        </w:rPr>
        <w:t xml:space="preserve">  </w:t>
      </w:r>
      <w:r>
        <w:rPr>
          <w:rFonts w:hint="eastAsia"/>
        </w:rPr>
        <w:t>的地下空间进行采光模拟，分析该地下室空间的采光状况并给出绿色建筑评估所需要的评价分值。</w:t>
      </w:r>
    </w:p>
    <w:p w14:paraId="6E98DA6A">
      <w:pPr>
        <w:pStyle w:val="2"/>
        <w:ind w:left="432" w:hanging="432"/>
      </w:pPr>
      <w:bookmarkStart w:id="26" w:name="_Toc3494"/>
      <w:r>
        <w:rPr>
          <w:rFonts w:hint="eastAsia"/>
        </w:rPr>
        <w:t>分析依据</w:t>
      </w:r>
      <w:bookmarkEnd w:id="26"/>
    </w:p>
    <w:p w14:paraId="78FFF6BC">
      <w:pPr>
        <w:pStyle w:val="4"/>
      </w:pPr>
      <w:bookmarkStart w:id="27" w:name="_Toc5094"/>
      <w:r>
        <w:rPr>
          <w:rFonts w:hint="eastAsia"/>
        </w:rPr>
        <w:t>评价依据</w:t>
      </w:r>
      <w:bookmarkEnd w:id="27"/>
    </w:p>
    <w:p w14:paraId="19F69975">
      <w:pPr>
        <w:numPr>
          <w:ilvl w:val="0"/>
          <w:numId w:val="2"/>
        </w:numPr>
        <w:rPr>
          <w:lang w:val="en-US"/>
        </w:rPr>
      </w:pPr>
      <w:bookmarkStart w:id="28" w:name="标准名称_国标"/>
      <w:r>
        <w:rPr>
          <w:lang w:val="en-US"/>
        </w:rPr>
        <w:t>《绿色建筑评价标准》GB/T 50378-2019</w:t>
      </w:r>
      <w:bookmarkEnd w:id="28"/>
    </w:p>
    <w:p w14:paraId="2469CBD0">
      <w:pPr>
        <w:numPr>
          <w:ilvl w:val="0"/>
          <w:numId w:val="2"/>
        </w:numPr>
        <w:rPr>
          <w:lang w:val="en-US"/>
        </w:rPr>
      </w:pPr>
      <w:r>
        <w:rPr>
          <w:lang w:val="en-US"/>
        </w:rPr>
        <w:t>《建筑采光设计标准》GB 5003-2013</w:t>
      </w:r>
    </w:p>
    <w:p w14:paraId="09BCA7C8">
      <w:pPr>
        <w:numPr>
          <w:ilvl w:val="0"/>
          <w:numId w:val="2"/>
        </w:numPr>
        <w:rPr>
          <w:lang w:val="en-US"/>
        </w:rPr>
      </w:pPr>
      <w:r>
        <w:rPr>
          <w:lang w:val="en-US"/>
        </w:rPr>
        <w:t>《绿色建筑评价标准</w:t>
      </w:r>
      <w:r>
        <w:rPr>
          <w:rFonts w:hint="eastAsia"/>
          <w:lang w:val="en-US"/>
        </w:rPr>
        <w:t>技术细则2019</w:t>
      </w:r>
      <w:r>
        <w:rPr>
          <w:lang w:val="en-US"/>
        </w:rPr>
        <w:t>》</w:t>
      </w:r>
    </w:p>
    <w:p w14:paraId="257D667F">
      <w:pPr>
        <w:numPr>
          <w:ilvl w:val="0"/>
          <w:numId w:val="2"/>
        </w:numPr>
        <w:rPr>
          <w:lang w:val="en-US"/>
        </w:rPr>
      </w:pPr>
      <w:r>
        <w:rPr>
          <w:lang w:val="en-US"/>
        </w:rPr>
        <w:t>《采光测量方法》GB/T5699-2017</w:t>
      </w:r>
    </w:p>
    <w:p w14:paraId="56D1CA83">
      <w:pPr>
        <w:numPr>
          <w:ilvl w:val="0"/>
          <w:numId w:val="2"/>
        </w:numPr>
        <w:rPr>
          <w:lang w:val="en-US"/>
        </w:rPr>
      </w:pPr>
      <w:r>
        <w:rPr>
          <w:lang w:val="en-US"/>
        </w:rPr>
        <w:t>委托方提供的项目总平面图、建筑设计图纸、设计效果图等图纸资料</w:t>
      </w:r>
    </w:p>
    <w:p w14:paraId="4952DC28">
      <w:pPr>
        <w:numPr>
          <w:ilvl w:val="0"/>
          <w:numId w:val="2"/>
        </w:numPr>
        <w:rPr>
          <w:lang w:val="en-US"/>
        </w:rPr>
      </w:pPr>
      <w:r>
        <w:rPr>
          <w:lang w:val="en-US"/>
        </w:rPr>
        <w:t>委托方提供的其它相关资料</w:t>
      </w:r>
      <w:r>
        <w:rPr>
          <w:rFonts w:hint="eastAsia"/>
          <w:lang w:val="en-US"/>
        </w:rPr>
        <w:t xml:space="preserve"> </w:t>
      </w:r>
    </w:p>
    <w:p w14:paraId="0AD4B8D6">
      <w:pPr>
        <w:pStyle w:val="4"/>
      </w:pPr>
      <w:bookmarkStart w:id="29" w:name="_Toc10541"/>
      <w:r>
        <w:rPr>
          <w:rFonts w:hint="eastAsia"/>
        </w:rPr>
        <w:t>标准要求</w:t>
      </w:r>
      <w:bookmarkEnd w:id="29"/>
    </w:p>
    <w:p w14:paraId="1DC3961A">
      <w:pPr>
        <w:ind w:firstLine="420" w:firstLineChars="200"/>
        <w:rPr>
          <w:lang w:val="en-US"/>
        </w:rPr>
      </w:pPr>
      <w:r>
        <w:rPr>
          <w:lang w:val="en-US"/>
        </w:rPr>
        <w:t>本报告以《建筑采光设计标准》GB 50033-2013为计算依据，以</w:t>
      </w:r>
      <w:bookmarkStart w:id="30" w:name="标准名称2"/>
      <w:r>
        <w:rPr>
          <w:lang w:val="en-US"/>
        </w:rPr>
        <w:t>《绿色建筑评价标准》GB/T 50378-2019</w:t>
      </w:r>
      <w:bookmarkEnd w:id="30"/>
      <w:r>
        <w:rPr>
          <w:lang w:val="en-US"/>
        </w:rPr>
        <w:t>为评价依据。</w:t>
      </w:r>
    </w:p>
    <w:p w14:paraId="73622B4C">
      <w:pPr>
        <w:pStyle w:val="13"/>
        <w:spacing w:line="240" w:lineRule="auto"/>
        <w:ind w:firstLine="0" w:firstLineChars="0"/>
        <w:jc w:val="left"/>
        <w:rPr>
          <w:rFonts w:ascii="微软雅黑" w:hAnsi="微软雅黑"/>
          <w:kern w:val="0"/>
          <w:sz w:val="21"/>
          <w:szCs w:val="21"/>
        </w:rPr>
      </w:pPr>
      <w:r>
        <w:rPr>
          <w:rFonts w:ascii="微软雅黑" w:hAnsi="微软雅黑"/>
          <w:b/>
          <w:kern w:val="0"/>
          <w:sz w:val="21"/>
          <w:szCs w:val="21"/>
        </w:rPr>
        <w:t>■ 《建筑采光设计标准》GB 50033-2013</w:t>
      </w:r>
      <w:r>
        <w:rPr>
          <w:rFonts w:ascii="微软雅黑" w:hAnsi="微软雅黑"/>
          <w:kern w:val="0"/>
          <w:sz w:val="21"/>
          <w:szCs w:val="21"/>
        </w:rPr>
        <w:t>规定</w:t>
      </w:r>
      <w:r>
        <w:rPr>
          <w:rFonts w:hint="eastAsia" w:ascii="微软雅黑" w:hAnsi="微软雅黑"/>
          <w:kern w:val="0"/>
          <w:sz w:val="21"/>
          <w:szCs w:val="21"/>
        </w:rPr>
        <w:t>：</w:t>
      </w:r>
    </w:p>
    <w:p w14:paraId="18240A3B">
      <w:pPr>
        <w:pStyle w:val="13"/>
        <w:spacing w:line="240" w:lineRule="auto"/>
        <w:ind w:firstLineChars="0"/>
        <w:jc w:val="left"/>
        <w:rPr>
          <w:rFonts w:ascii="微软雅黑" w:hAnsi="微软雅黑"/>
          <w:sz w:val="21"/>
          <w:szCs w:val="21"/>
        </w:rPr>
      </w:pPr>
      <w:r>
        <w:rPr>
          <w:rFonts w:ascii="微软雅黑" w:hAnsi="微软雅黑"/>
          <w:sz w:val="21"/>
          <w:szCs w:val="21"/>
        </w:rPr>
        <w:t>建筑室内的天然采光效果以采光系数平均值作为采光设计的关键性评价指标，特定情况下还需要对采光均匀性、采光方向性、避免直射光照射、防止眩光等采光指标进行控制。</w:t>
      </w:r>
    </w:p>
    <w:p w14:paraId="39A94A95">
      <w:pPr>
        <w:pStyle w:val="13"/>
        <w:spacing w:line="240" w:lineRule="auto"/>
        <w:ind w:left="420" w:leftChars="200" w:firstLine="0" w:firstLineChars="0"/>
        <w:jc w:val="left"/>
        <w:rPr>
          <w:rFonts w:ascii="微软雅黑" w:hAnsi="微软雅黑"/>
          <w:sz w:val="21"/>
          <w:szCs w:val="21"/>
        </w:rPr>
      </w:pPr>
    </w:p>
    <w:p w14:paraId="2E9F051B">
      <w:pPr>
        <w:bidi w:val="0"/>
        <w:rPr>
          <w:rFonts w:ascii="微软雅黑" w:hAnsi="微软雅黑" w:eastAsia="微软雅黑"/>
          <w:lang w:val="en-US"/>
        </w:rPr>
      </w:pPr>
      <w:r>
        <w:rPr>
          <w:rFonts w:ascii="微软雅黑" w:hAnsi="微软雅黑" w:eastAsia="微软雅黑"/>
          <w:lang w:val="en-US"/>
        </w:rPr>
        <w:t xml:space="preserve">■ </w:t>
      </w:r>
      <w:bookmarkStart w:id="31" w:name="标准名称"/>
      <w:r>
        <w:rPr>
          <w:rFonts w:ascii="微软雅黑" w:hAnsi="微软雅黑" w:eastAsia="微软雅黑"/>
          <w:b/>
          <w:lang w:val="en-US"/>
        </w:rPr>
        <w:t>《绿色建筑评价标准》GB/T 50378-2019</w:t>
      </w:r>
      <w:bookmarkEnd w:id="31"/>
      <w:r>
        <w:rPr>
          <w:rFonts w:hint="eastAsia" w:ascii="微软雅黑" w:hAnsi="微软雅黑" w:eastAsia="微软雅黑"/>
          <w:lang w:val="en-US"/>
        </w:rPr>
        <w:t>规定</w:t>
      </w:r>
      <w:r>
        <w:rPr>
          <w:rFonts w:ascii="微软雅黑" w:hAnsi="微软雅黑" w:eastAsia="微软雅黑"/>
          <w:lang w:val="en-US"/>
        </w:rPr>
        <w:t>：</w:t>
      </w:r>
    </w:p>
    <w:p w14:paraId="1A7DD65E">
      <w:pPr>
        <w:ind w:firstLine="420" w:firstLineChars="200"/>
      </w:pPr>
      <w:r>
        <w:rPr>
          <w:szCs w:val="21"/>
        </w:rPr>
        <w:t>5. 2. 8-2</w:t>
      </w:r>
      <w:r>
        <w:rPr>
          <w:rFonts w:hint="eastAsia"/>
          <w:szCs w:val="21"/>
        </w:rPr>
        <w:t>地下空间平均采光系数不小于</w:t>
      </w:r>
      <w:r>
        <w:rPr>
          <w:szCs w:val="21"/>
        </w:rPr>
        <w:t xml:space="preserve">0.5% </w:t>
      </w:r>
      <w:r>
        <w:rPr>
          <w:rFonts w:hint="eastAsia"/>
          <w:szCs w:val="21"/>
        </w:rPr>
        <w:t>的面积与地下室首层面积的比例达到</w:t>
      </w:r>
      <w:bookmarkStart w:id="32" w:name="地下采光评价要求"/>
      <w:r>
        <w:rPr>
          <w:szCs w:val="21"/>
        </w:rPr>
        <w:t>10%</w:t>
      </w:r>
      <w:bookmarkEnd w:id="32"/>
      <w:r>
        <w:rPr>
          <w:szCs w:val="21"/>
        </w:rPr>
        <w:t xml:space="preserve"> </w:t>
      </w:r>
      <w:r>
        <w:rPr>
          <w:rFonts w:hint="eastAsia"/>
          <w:szCs w:val="21"/>
        </w:rPr>
        <w:t>以上，得</w:t>
      </w:r>
      <w:bookmarkStart w:id="33" w:name="地下采光评价分值"/>
      <w:r>
        <w:rPr>
          <w:szCs w:val="21"/>
        </w:rPr>
        <w:t>3</w:t>
      </w:r>
      <w:bookmarkEnd w:id="33"/>
      <w:r>
        <w:rPr>
          <w:szCs w:val="21"/>
        </w:rPr>
        <w:t xml:space="preserve"> </w:t>
      </w:r>
      <w:r>
        <w:rPr>
          <w:rFonts w:hint="eastAsia"/>
          <w:szCs w:val="21"/>
        </w:rPr>
        <w:t>分；</w:t>
      </w:r>
    </w:p>
    <w:p w14:paraId="2BA83473">
      <w:pPr>
        <w:ind w:left="420" w:leftChars="200"/>
      </w:pPr>
    </w:p>
    <w:p w14:paraId="6EF0DE0A">
      <w:pPr>
        <w:pStyle w:val="13"/>
        <w:spacing w:line="240" w:lineRule="auto"/>
        <w:ind w:firstLine="420"/>
        <w:jc w:val="left"/>
        <w:rPr>
          <w:lang w:val="en-GB"/>
        </w:rPr>
      </w:pPr>
      <w:r>
        <w:rPr>
          <w:rFonts w:hint="eastAsia" w:ascii="微软雅黑" w:hAnsi="微软雅黑"/>
          <w:sz w:val="21"/>
          <w:szCs w:val="21"/>
        </w:rPr>
        <w:t>《绿色建筑评价标准》GB/T 50378要求采光模拟应符合</w:t>
      </w:r>
      <w:r>
        <w:rPr>
          <w:rFonts w:ascii="微软雅黑" w:hAnsi="微软雅黑"/>
          <w:sz w:val="21"/>
          <w:szCs w:val="21"/>
        </w:rPr>
        <w:t>《民用建筑绿色性能计算标准》JGJ/T449-2018</w:t>
      </w:r>
      <w:r>
        <w:rPr>
          <w:rFonts w:hint="eastAsia" w:ascii="微软雅黑" w:hAnsi="微软雅黑"/>
          <w:sz w:val="21"/>
          <w:szCs w:val="21"/>
        </w:rPr>
        <w:t>第6</w:t>
      </w:r>
      <w:r>
        <w:rPr>
          <w:rFonts w:ascii="微软雅黑" w:hAnsi="微软雅黑"/>
          <w:sz w:val="21"/>
          <w:szCs w:val="21"/>
        </w:rPr>
        <w:t>.4.4</w:t>
      </w:r>
      <w:r>
        <w:rPr>
          <w:rFonts w:hint="eastAsia" w:ascii="微软雅黑" w:hAnsi="微软雅黑"/>
          <w:sz w:val="21"/>
          <w:szCs w:val="21"/>
        </w:rPr>
        <w:t>条要求</w:t>
      </w:r>
      <w:r>
        <w:rPr>
          <w:rFonts w:ascii="微软雅黑" w:hAnsi="微软雅黑"/>
          <w:sz w:val="21"/>
          <w:szCs w:val="21"/>
        </w:rPr>
        <w:t xml:space="preserve">: </w:t>
      </w:r>
      <w:r>
        <w:rPr>
          <w:rFonts w:hint="eastAsia" w:ascii="微软雅黑" w:hAnsi="微软雅黑"/>
          <w:sz w:val="21"/>
          <w:szCs w:val="21"/>
        </w:rPr>
        <w:t>地上建筑模型应包括周边建筑物。</w:t>
      </w:r>
    </w:p>
    <w:p w14:paraId="298323AA">
      <w:pPr>
        <w:pStyle w:val="2"/>
        <w:ind w:left="432" w:hanging="432"/>
      </w:pPr>
      <w:bookmarkStart w:id="34" w:name="_Toc27123"/>
      <w:r>
        <w:rPr>
          <w:rFonts w:hint="eastAsia"/>
        </w:rPr>
        <w:t>应用软件与计算方法</w:t>
      </w:r>
      <w:bookmarkEnd w:id="34"/>
    </w:p>
    <w:p w14:paraId="26FBF851">
      <w:pPr>
        <w:pStyle w:val="4"/>
      </w:pPr>
      <w:bookmarkStart w:id="35" w:name="_Toc31676"/>
      <w:r>
        <w:t>软件</w:t>
      </w:r>
      <w:r>
        <w:rPr>
          <w:rFonts w:hint="eastAsia"/>
        </w:rPr>
        <w:t>选用</w:t>
      </w:r>
      <w:bookmarkEnd w:id="35"/>
    </w:p>
    <w:p w14:paraId="2B7200D0">
      <w:pPr>
        <w:ind w:firstLine="420" w:firstLineChars="200"/>
      </w:pPr>
      <w:r>
        <w:t>本报告采用绿建斯维尔采光分析软件Dali</w:t>
      </w:r>
      <w:r>
        <w:rPr>
          <w:rFonts w:hint="eastAsia"/>
        </w:rPr>
        <w:t>作为分析工具。</w:t>
      </w:r>
      <w:r>
        <w:t>Dali是国内首款与国标《建筑采光设计标准》GB50033配套的软件，支持《绿色建筑评价标准》GB/T50378的采光指标要求</w:t>
      </w:r>
      <w:r>
        <w:rPr>
          <w:rFonts w:hint="eastAsia"/>
        </w:rPr>
        <w:t>。软件</w:t>
      </w:r>
      <w:r>
        <w:t>以Radiance为计算核心，将计算结果返回到Dali进行处理分析。Dali可对地下采光、视野率、达标率、内区采光、眩光指数等进行快速分析，并根据需求生成</w:t>
      </w:r>
      <w:r>
        <w:rPr>
          <w:rFonts w:hint="eastAsia"/>
        </w:rPr>
        <w:t>《地下采光分析</w:t>
      </w:r>
      <w:r>
        <w:t>计算书</w:t>
      </w:r>
      <w:r>
        <w:rPr>
          <w:rFonts w:hint="eastAsia"/>
        </w:rPr>
        <w:t>》等</w:t>
      </w:r>
      <w:r>
        <w:t>采光相关计算书。</w:t>
      </w:r>
    </w:p>
    <w:p w14:paraId="4F95E6AE">
      <w:pPr>
        <w:ind w:firstLine="420" w:firstLineChars="200"/>
      </w:pPr>
      <w:r>
        <w:t>Dali已通过了《建筑采光设计标准》GB50033-2013标准编制组的鉴定，获得国家建筑工程质量监督检验中心鉴定报告，编号BETC-GMJC-2014-1。同时，Dali还通过了住房和城乡建设部科技发展促进中心专家组评审鉴定，获得《建设行业科技成果评估证书》，编号建科评[2014]069，评估委员会认定软件总体已达到国内领先水平。</w:t>
      </w:r>
    </w:p>
    <w:p w14:paraId="44BF871D">
      <w:pPr>
        <w:pStyle w:val="4"/>
      </w:pPr>
      <w:bookmarkStart w:id="36" w:name="_Toc2117"/>
      <w:r>
        <w:rPr>
          <w:rFonts w:hint="eastAsia"/>
        </w:rPr>
        <w:t>计算原理</w:t>
      </w:r>
      <w:bookmarkEnd w:id="36"/>
    </w:p>
    <w:p w14:paraId="02AF3E94">
      <w:pPr>
        <w:pStyle w:val="13"/>
        <w:spacing w:line="360" w:lineRule="auto"/>
        <w:ind w:firstLine="420"/>
        <w:rPr>
          <w:b/>
          <w:sz w:val="21"/>
          <w:szCs w:val="21"/>
        </w:rPr>
      </w:pPr>
      <w:r>
        <w:rPr>
          <w:rFonts w:hint="eastAsia"/>
          <w:b/>
          <w:sz w:val="21"/>
          <w:szCs w:val="21"/>
        </w:rPr>
        <w:t xml:space="preserve">■ 采光系数 </w:t>
      </w:r>
    </w:p>
    <w:p w14:paraId="18005B7B">
      <w:pPr>
        <w:ind w:firstLine="420" w:firstLineChars="200"/>
        <w:rPr>
          <w:b/>
        </w:rPr>
      </w:pPr>
      <w:r>
        <w:t>在室内参考平上的一点，由直接或间接地接收来自假定和已知天空亮度分布的天空漫射光而产生的照度与同一时刻该天空半球在室外无遮挡水平面上产生的天空漫射光照度之比。</w:t>
      </w:r>
    </w:p>
    <w:p w14:paraId="60C23B80">
      <w:r>
        <w:t>室内某一点的采光系数C，计算公式为：</w:t>
      </w:r>
    </w:p>
    <w:p w14:paraId="167188BA">
      <w:pPr>
        <w:ind w:firstLine="420" w:firstLineChars="200"/>
      </w:pPr>
      <w:r>
        <w:drawing>
          <wp:inline distT="0" distB="0" distL="114300" distR="114300">
            <wp:extent cx="1078230" cy="464185"/>
            <wp:effectExtent l="0" t="0" r="0" b="889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0"/>
                    <a:stretch>
                      <a:fillRect/>
                    </a:stretch>
                  </pic:blipFill>
                  <pic:spPr>
                    <a:xfrm>
                      <a:off x="0" y="0"/>
                      <a:ext cx="1078230" cy="464185"/>
                    </a:xfrm>
                    <a:prstGeom prst="rect">
                      <a:avLst/>
                    </a:prstGeom>
                    <a:noFill/>
                    <a:ln>
                      <a:noFill/>
                    </a:ln>
                  </pic:spPr>
                </pic:pic>
              </a:graphicData>
            </a:graphic>
          </wp:inline>
        </w:drawing>
      </w:r>
    </w:p>
    <w:p w14:paraId="1C96F847">
      <w:pPr>
        <w:ind w:left="420" w:leftChars="200"/>
      </w:pPr>
      <w:r>
        <w:t>式中:  En—室内照度；</w:t>
      </w:r>
    </w:p>
    <w:p w14:paraId="66BF71D0">
      <w:pPr>
        <w:ind w:left="420" w:leftChars="200" w:firstLine="630" w:firstLineChars="300"/>
      </w:pPr>
      <w:r>
        <w:t>Ew—室外照度。</w:t>
      </w:r>
    </w:p>
    <w:p w14:paraId="597E3757">
      <w:pPr>
        <w:pStyle w:val="13"/>
        <w:spacing w:line="360" w:lineRule="auto"/>
        <w:ind w:firstLine="420"/>
        <w:rPr>
          <w:rFonts w:ascii="Times New Roman" w:hAnsi="Times New Roman"/>
          <w:b/>
          <w:sz w:val="21"/>
          <w:szCs w:val="21"/>
        </w:rPr>
      </w:pPr>
      <w:r>
        <w:rPr>
          <w:rFonts w:ascii="Times New Roman" w:hAnsi="Times New Roman"/>
          <w:b/>
          <w:sz w:val="21"/>
          <w:szCs w:val="21"/>
        </w:rPr>
        <w:t>■ 平均采光系数</w:t>
      </w:r>
    </w:p>
    <w:p w14:paraId="5A1DEB55">
      <w:pPr>
        <w:ind w:firstLine="420" w:firstLineChars="200"/>
      </w:pPr>
      <w:r>
        <w:t>通常按单个房间计算平均采光系数，即房间内划分网格上各个交点上的采光系数算术平均值。</w:t>
      </w:r>
    </w:p>
    <w:p w14:paraId="48D9F6D7">
      <w:pPr>
        <w:ind w:firstLine="420" w:firstLineChars="200"/>
        <w:rPr>
          <w:rFonts w:ascii="Times New Roman" w:hAnsi="Times New Roman"/>
          <w:b/>
        </w:rPr>
      </w:pPr>
      <w:r>
        <w:rPr>
          <w:rFonts w:ascii="Times New Roman" w:hAnsi="Times New Roman"/>
          <w:b/>
        </w:rPr>
        <w:t>■ 采光系数标准值</w:t>
      </w:r>
    </w:p>
    <w:p w14:paraId="6CDF8393">
      <w:pPr>
        <w:ind w:firstLine="420" w:firstLineChars="200"/>
      </w:pPr>
      <w:r>
        <w:t>在规定的室外天然光设计照度下，满足视觉功能要求时的采光系数值。《建筑采光设计标准》GB50033-2013中规定的采光系数标准值和室内天然光照度标准值为参考平面上的平均值。在同一室外天然光设计照度值的条件下，对于同一个房间，满足采光系数标准值即满足室内满足天然光照度标准值。</w:t>
      </w:r>
    </w:p>
    <w:p w14:paraId="55C786B4">
      <w:pPr>
        <w:pStyle w:val="13"/>
        <w:spacing w:line="360" w:lineRule="auto"/>
        <w:ind w:firstLine="420"/>
        <w:rPr>
          <w:rFonts w:ascii="Times New Roman" w:hAnsi="Times New Roman"/>
          <w:b/>
          <w:sz w:val="21"/>
          <w:szCs w:val="21"/>
        </w:rPr>
      </w:pPr>
      <w:r>
        <w:rPr>
          <w:rFonts w:ascii="Times New Roman" w:hAnsi="Times New Roman"/>
          <w:b/>
          <w:sz w:val="21"/>
          <w:szCs w:val="21"/>
        </w:rPr>
        <w:t>■ 面积比例</w:t>
      </w:r>
    </w:p>
    <w:p w14:paraId="62877B3C">
      <w:pPr>
        <w:ind w:firstLine="420" w:firstLineChars="200"/>
      </w:pPr>
      <w:r>
        <w:t>地下空间平均采光系数≥0.5%的面积与首层地下室面积的比例，即计算首层地下房间各网格点上的采光系数，统计平均采光系数不小于0.5%部分的面积，该面积与首层地下室总面积之比。</w:t>
      </w:r>
    </w:p>
    <w:p w14:paraId="028F9075">
      <w:pPr>
        <w:pStyle w:val="13"/>
        <w:spacing w:line="360" w:lineRule="auto"/>
        <w:ind w:firstLine="420"/>
        <w:rPr>
          <w:rFonts w:ascii="Times New Roman" w:hAnsi="Times New Roman"/>
          <w:b/>
          <w:sz w:val="21"/>
          <w:szCs w:val="21"/>
        </w:rPr>
      </w:pPr>
      <w:r>
        <w:rPr>
          <w:rFonts w:ascii="Times New Roman" w:hAnsi="Times New Roman"/>
          <w:b/>
          <w:sz w:val="21"/>
          <w:szCs w:val="21"/>
        </w:rPr>
        <w:t>■ 评价分值</w:t>
      </w:r>
    </w:p>
    <w:p w14:paraId="58A57BF2">
      <w:pPr>
        <w:pStyle w:val="13"/>
        <w:spacing w:line="360" w:lineRule="auto"/>
        <w:ind w:firstLine="420"/>
        <w:jc w:val="left"/>
        <w:rPr>
          <w:rFonts w:ascii="微软雅黑" w:hAnsi="微软雅黑"/>
          <w:kern w:val="0"/>
          <w:sz w:val="21"/>
          <w:szCs w:val="18"/>
          <w:lang w:val="en-GB"/>
        </w:rPr>
      </w:pPr>
      <w:r>
        <w:rPr>
          <w:rFonts w:ascii="微软雅黑" w:hAnsi="微软雅黑"/>
          <w:kern w:val="0"/>
          <w:sz w:val="21"/>
          <w:szCs w:val="18"/>
          <w:lang w:val="en-GB"/>
        </w:rPr>
        <w:t>依据</w:t>
      </w:r>
      <w:r>
        <w:rPr>
          <w:rFonts w:hint="eastAsia" w:ascii="微软雅黑" w:hAnsi="微软雅黑"/>
          <w:kern w:val="0"/>
          <w:sz w:val="21"/>
          <w:szCs w:val="18"/>
          <w:lang w:val="en-GB"/>
        </w:rPr>
        <w:t>达标</w:t>
      </w:r>
      <w:r>
        <w:rPr>
          <w:rFonts w:ascii="微软雅黑" w:hAnsi="微软雅黑"/>
          <w:kern w:val="0"/>
          <w:sz w:val="21"/>
          <w:szCs w:val="18"/>
          <w:lang w:val="en-GB"/>
        </w:rPr>
        <w:t>面积比例与得分的对应关系，给出地下空间天然采光效果的评价分值。</w:t>
      </w:r>
    </w:p>
    <w:p w14:paraId="5F90C988">
      <w:pPr>
        <w:pStyle w:val="4"/>
      </w:pPr>
      <w:bookmarkStart w:id="37" w:name="_Toc8818"/>
      <w:bookmarkStart w:id="38" w:name="_Toc264043630"/>
      <w:bookmarkStart w:id="39" w:name="_Toc290209341"/>
      <w:bookmarkStart w:id="40" w:name="_Toc275165387"/>
      <w:bookmarkStart w:id="41" w:name="_Toc264569237"/>
      <w:bookmarkStart w:id="42" w:name="_Toc312399796"/>
      <w:bookmarkStart w:id="43" w:name="_Toc290149059"/>
      <w:bookmarkStart w:id="44" w:name="_Toc290209317"/>
      <w:r>
        <w:rPr>
          <w:rFonts w:hint="eastAsia"/>
        </w:rPr>
        <w:t>计算方法</w:t>
      </w:r>
      <w:bookmarkEnd w:id="37"/>
    </w:p>
    <w:p w14:paraId="50905659">
      <w:pPr>
        <w:ind w:firstLine="420" w:firstLineChars="200"/>
        <w:rPr>
          <w:b/>
        </w:rPr>
      </w:pPr>
      <w:r>
        <w:rPr>
          <w:rFonts w:hint="eastAsia"/>
        </w:rPr>
        <w:t>《建筑采光设计</w:t>
      </w:r>
      <w:r>
        <w:t>标准》GB50033-2013第6.0.3条指出，对于采光形式复杂的建筑，应利用计算机模拟软件或缩尺模型进行采光计算分析。为尽量真实分析各功能房间（场所）的采光品质和状况，本项目采用</w:t>
      </w:r>
      <w:r>
        <w:rPr>
          <w:u w:val="single"/>
        </w:rPr>
        <w:t>模拟法</w:t>
      </w:r>
      <w:r>
        <w:t>计算采光系数</w:t>
      </w:r>
      <w:r>
        <w:rPr>
          <w:rFonts w:hint="eastAsia"/>
        </w:rPr>
        <w:t>。</w:t>
      </w:r>
      <w:bookmarkEnd w:id="38"/>
      <w:bookmarkEnd w:id="39"/>
      <w:bookmarkEnd w:id="40"/>
      <w:bookmarkEnd w:id="41"/>
      <w:bookmarkEnd w:id="42"/>
      <w:bookmarkEnd w:id="43"/>
      <w:bookmarkEnd w:id="44"/>
    </w:p>
    <w:p w14:paraId="4C4D7C68">
      <w:pPr>
        <w:pStyle w:val="2"/>
        <w:ind w:left="432" w:hanging="432"/>
      </w:pPr>
      <w:bookmarkStart w:id="45" w:name="_Toc17475"/>
      <w:r>
        <w:rPr>
          <w:rFonts w:hint="eastAsia"/>
        </w:rPr>
        <w:t>计算参数选用</w:t>
      </w:r>
      <w:bookmarkEnd w:id="45"/>
    </w:p>
    <w:p w14:paraId="53AA8715">
      <w:pPr>
        <w:pStyle w:val="4"/>
      </w:pPr>
      <w:bookmarkStart w:id="46" w:name="_Toc16057"/>
      <w:r>
        <w:rPr>
          <w:rFonts w:hint="eastAsia"/>
        </w:rPr>
        <w:t>模拟条件</w:t>
      </w:r>
      <w:bookmarkEnd w:id="46"/>
    </w:p>
    <w:p w14:paraId="500D20A5">
      <w:pPr>
        <w:pStyle w:val="13"/>
        <w:adjustRightInd w:val="0"/>
        <w:spacing w:line="240" w:lineRule="auto"/>
        <w:ind w:firstLine="420"/>
        <w:rPr>
          <w:sz w:val="21"/>
          <w:szCs w:val="21"/>
        </w:rPr>
      </w:pPr>
      <w:r>
        <w:rPr>
          <w:rFonts w:hint="eastAsia"/>
          <w:b/>
          <w:sz w:val="21"/>
          <w:szCs w:val="21"/>
        </w:rPr>
        <w:t>天空状态：</w:t>
      </w:r>
      <w:r>
        <w:rPr>
          <w:rFonts w:hint="eastAsia" w:ascii="微软雅黑" w:hAnsi="微软雅黑"/>
          <w:sz w:val="21"/>
          <w:szCs w:val="21"/>
        </w:rPr>
        <w:t>CIE全阴天天空</w:t>
      </w:r>
    </w:p>
    <w:p w14:paraId="22AA48FD">
      <w:pPr>
        <w:pStyle w:val="13"/>
        <w:adjustRightInd w:val="0"/>
        <w:spacing w:line="240" w:lineRule="auto"/>
        <w:ind w:firstLine="420"/>
        <w:rPr>
          <w:sz w:val="21"/>
          <w:szCs w:val="21"/>
        </w:rPr>
      </w:pPr>
      <w:r>
        <w:rPr>
          <w:rFonts w:hint="eastAsia"/>
          <w:b/>
          <w:sz w:val="21"/>
          <w:szCs w:val="21"/>
        </w:rPr>
        <w:t>分析参考平面：</w:t>
      </w:r>
      <w:r>
        <w:rPr>
          <w:rFonts w:hint="eastAsia"/>
          <w:sz w:val="21"/>
          <w:szCs w:val="21"/>
        </w:rPr>
        <w:t>地面</w:t>
      </w:r>
    </w:p>
    <w:p w14:paraId="79BECCBA">
      <w:pPr>
        <w:pStyle w:val="13"/>
        <w:adjustRightInd w:val="0"/>
        <w:spacing w:line="240" w:lineRule="auto"/>
        <w:ind w:firstLine="420"/>
        <w:rPr>
          <w:sz w:val="21"/>
          <w:szCs w:val="21"/>
        </w:rPr>
      </w:pPr>
      <w:r>
        <w:rPr>
          <w:rFonts w:hint="eastAsia"/>
          <w:b/>
          <w:sz w:val="21"/>
          <w:szCs w:val="21"/>
        </w:rPr>
        <w:t>分析计算网格划分的间距</w:t>
      </w:r>
      <w:r>
        <w:rPr>
          <w:rFonts w:hint="eastAsia"/>
          <w:sz w:val="21"/>
          <w:szCs w:val="21"/>
        </w:rPr>
        <w:t>：</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83"/>
        <w:gridCol w:w="3272"/>
      </w:tblGrid>
      <w:tr w14:paraId="58EC22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83" w:type="dxa"/>
            <w:shd w:val="clear" w:color="auto" w:fill="E6E6E6"/>
            <w:vAlign w:val="center"/>
          </w:tcPr>
          <w:p w14:paraId="27C0EBF7">
            <w:pPr>
              <w:adjustRightInd w:val="0"/>
              <w:jc w:val="center"/>
            </w:pPr>
            <w:r>
              <w:rPr>
                <w:rFonts w:hint="eastAsia"/>
              </w:rPr>
              <w:t>房间面积(m</w:t>
            </w:r>
            <w:r>
              <w:rPr>
                <w:rFonts w:hint="eastAsia"/>
                <w:vertAlign w:val="superscript"/>
              </w:rPr>
              <w:t>2</w:t>
            </w:r>
            <w:r>
              <w:rPr>
                <w:rFonts w:hint="eastAsia"/>
              </w:rPr>
              <w:t>)</w:t>
            </w:r>
          </w:p>
        </w:tc>
        <w:tc>
          <w:tcPr>
            <w:tcW w:w="3272" w:type="dxa"/>
            <w:shd w:val="clear" w:color="auto" w:fill="E6E6E6"/>
            <w:vAlign w:val="center"/>
          </w:tcPr>
          <w:p w14:paraId="2F2927E4">
            <w:pPr>
              <w:adjustRightInd w:val="0"/>
              <w:jc w:val="center"/>
            </w:pPr>
            <w:r>
              <w:rPr>
                <w:rFonts w:hint="eastAsia"/>
              </w:rPr>
              <w:t>网格大小（m）</w:t>
            </w:r>
          </w:p>
        </w:tc>
      </w:tr>
      <w:tr w14:paraId="1E354E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83" w:type="dxa"/>
            <w:shd w:val="clear" w:color="auto" w:fill="auto"/>
            <w:vAlign w:val="center"/>
          </w:tcPr>
          <w:p w14:paraId="75F0BBAE">
            <w:pPr>
              <w:adjustRightInd w:val="0"/>
              <w:jc w:val="center"/>
            </w:pPr>
            <w:r>
              <w:rPr>
                <w:rFonts w:hint="eastAsia"/>
              </w:rPr>
              <w:t>≤</w:t>
            </w:r>
            <w:bookmarkStart w:id="47" w:name="网格划分小房间面积"/>
            <w:r>
              <w:rPr>
                <w:rFonts w:hint="eastAsia"/>
              </w:rPr>
              <w:t>10</w:t>
            </w:r>
            <w:bookmarkEnd w:id="47"/>
          </w:p>
        </w:tc>
        <w:tc>
          <w:tcPr>
            <w:tcW w:w="3272" w:type="dxa"/>
            <w:shd w:val="clear" w:color="auto" w:fill="auto"/>
            <w:vAlign w:val="center"/>
          </w:tcPr>
          <w:p w14:paraId="2F5D027D">
            <w:pPr>
              <w:adjustRightInd w:val="0"/>
              <w:jc w:val="center"/>
            </w:pPr>
            <w:bookmarkStart w:id="48" w:name="小房间网格大小"/>
            <w:r>
              <w:rPr>
                <w:rFonts w:hint="eastAsia"/>
              </w:rPr>
              <w:t>0.25</w:t>
            </w:r>
            <w:bookmarkEnd w:id="48"/>
          </w:p>
        </w:tc>
      </w:tr>
      <w:tr w14:paraId="301CC4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83" w:type="dxa"/>
            <w:shd w:val="clear" w:color="auto" w:fill="auto"/>
            <w:vAlign w:val="center"/>
          </w:tcPr>
          <w:p w14:paraId="7E001DFD">
            <w:pPr>
              <w:adjustRightInd w:val="0"/>
              <w:jc w:val="center"/>
            </w:pPr>
            <w:bookmarkStart w:id="49" w:name="网格划分房间面积"/>
            <w:r>
              <w:rPr>
                <w:rFonts w:hint="eastAsia"/>
              </w:rPr>
              <w:t>10~100</w:t>
            </w:r>
            <w:bookmarkEnd w:id="49"/>
          </w:p>
        </w:tc>
        <w:tc>
          <w:tcPr>
            <w:tcW w:w="3272" w:type="dxa"/>
            <w:shd w:val="clear" w:color="auto" w:fill="auto"/>
            <w:vAlign w:val="center"/>
          </w:tcPr>
          <w:p w14:paraId="658B67DF">
            <w:pPr>
              <w:adjustRightInd w:val="0"/>
              <w:jc w:val="center"/>
            </w:pPr>
            <w:bookmarkStart w:id="50" w:name="网格大小"/>
            <w:r>
              <w:rPr>
                <w:rFonts w:hint="eastAsia"/>
              </w:rPr>
              <w:t>0.50</w:t>
            </w:r>
            <w:bookmarkEnd w:id="50"/>
          </w:p>
        </w:tc>
      </w:tr>
      <w:tr w14:paraId="6DAC13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83" w:type="dxa"/>
            <w:shd w:val="clear" w:color="auto" w:fill="auto"/>
            <w:vAlign w:val="center"/>
          </w:tcPr>
          <w:p w14:paraId="5AB22BEA">
            <w:pPr>
              <w:adjustRightInd w:val="0"/>
              <w:jc w:val="center"/>
            </w:pPr>
            <w:r>
              <w:rPr>
                <w:rFonts w:hint="eastAsia"/>
              </w:rPr>
              <w:t>≥</w:t>
            </w:r>
            <w:bookmarkStart w:id="51" w:name="网格划分大房间面积"/>
            <w:r>
              <w:rPr>
                <w:rFonts w:hint="eastAsia"/>
              </w:rPr>
              <w:t>100</w:t>
            </w:r>
            <w:bookmarkEnd w:id="51"/>
          </w:p>
        </w:tc>
        <w:tc>
          <w:tcPr>
            <w:tcW w:w="3272" w:type="dxa"/>
            <w:shd w:val="clear" w:color="auto" w:fill="auto"/>
            <w:vAlign w:val="center"/>
          </w:tcPr>
          <w:p w14:paraId="004B8EA5">
            <w:pPr>
              <w:adjustRightInd w:val="0"/>
              <w:jc w:val="center"/>
            </w:pPr>
            <w:bookmarkStart w:id="52" w:name="大房间网格大小"/>
            <w:r>
              <w:rPr>
                <w:rFonts w:hint="eastAsia"/>
              </w:rPr>
              <w:t>1.00</w:t>
            </w:r>
            <w:bookmarkEnd w:id="52"/>
          </w:p>
        </w:tc>
      </w:tr>
    </w:tbl>
    <w:p w14:paraId="5EA416F4">
      <w:pPr>
        <w:pStyle w:val="13"/>
        <w:spacing w:line="360" w:lineRule="exact"/>
        <w:ind w:left="420" w:leftChars="200" w:firstLine="0" w:firstLineChars="0"/>
        <w:rPr>
          <w:rFonts w:ascii="微软雅黑" w:hAnsi="微软雅黑"/>
          <w:sz w:val="21"/>
          <w:szCs w:val="21"/>
        </w:rPr>
      </w:pPr>
      <w:r>
        <w:rPr>
          <w:rFonts w:hint="eastAsia" w:ascii="微软雅黑" w:hAnsi="微软雅黑"/>
          <w:b/>
          <w:sz w:val="21"/>
          <w:szCs w:val="21"/>
        </w:rPr>
        <w:t>周边环境：</w:t>
      </w:r>
      <w:r>
        <w:rPr>
          <w:rFonts w:hint="eastAsia" w:ascii="微软雅黑" w:hAnsi="微软雅黑"/>
          <w:sz w:val="21"/>
          <w:szCs w:val="21"/>
        </w:rPr>
        <w:t>根据</w:t>
      </w:r>
      <w:r>
        <w:rPr>
          <w:rFonts w:ascii="微软雅黑" w:hAnsi="微软雅黑"/>
          <w:sz w:val="21"/>
          <w:szCs w:val="21"/>
        </w:rPr>
        <w:t>《民用建筑绿色性能计算标准》JGJ/T449-2018</w:t>
      </w:r>
      <w:r>
        <w:rPr>
          <w:rFonts w:hint="eastAsia" w:ascii="微软雅黑" w:hAnsi="微软雅黑"/>
          <w:sz w:val="21"/>
          <w:szCs w:val="21"/>
        </w:rPr>
        <w:t>第6</w:t>
      </w:r>
      <w:r>
        <w:rPr>
          <w:rFonts w:ascii="微软雅黑" w:hAnsi="微软雅黑"/>
          <w:sz w:val="21"/>
          <w:szCs w:val="21"/>
        </w:rPr>
        <w:t>.4.4</w:t>
      </w:r>
      <w:r>
        <w:rPr>
          <w:rFonts w:hint="eastAsia" w:ascii="微软雅黑" w:hAnsi="微软雅黑"/>
          <w:sz w:val="21"/>
          <w:szCs w:val="21"/>
        </w:rPr>
        <w:t>条要求，考虑周边建筑物等影响。</w:t>
      </w:r>
    </w:p>
    <w:p w14:paraId="78479046">
      <w:pPr>
        <w:pStyle w:val="13"/>
        <w:adjustRightInd w:val="0"/>
        <w:spacing w:line="240" w:lineRule="auto"/>
        <w:ind w:firstLine="420"/>
        <w:rPr>
          <w:sz w:val="21"/>
          <w:szCs w:val="21"/>
        </w:rPr>
      </w:pPr>
      <w:r>
        <w:rPr>
          <w:rFonts w:hint="eastAsia" w:ascii="微软雅黑" w:hAnsi="微软雅黑"/>
          <w:b/>
          <w:sz w:val="21"/>
          <w:szCs w:val="21"/>
        </w:rPr>
        <w:t>室内环境：</w:t>
      </w:r>
      <w:r>
        <w:rPr>
          <w:rFonts w:hint="eastAsia" w:ascii="微软雅黑" w:hAnsi="微软雅黑"/>
          <w:sz w:val="21"/>
          <w:szCs w:val="21"/>
        </w:rPr>
        <w:t>忽略室内家具类设施的影响，只考虑永久固定的顶棚、地面和墙面。</w:t>
      </w:r>
    </w:p>
    <w:p w14:paraId="6C76C696">
      <w:pPr>
        <w:pStyle w:val="4"/>
      </w:pPr>
      <w:bookmarkStart w:id="53" w:name="_Toc23753"/>
      <w:r>
        <w:rPr>
          <w:rFonts w:hint="eastAsia"/>
        </w:rPr>
        <w:t>建筑饰面材料参数</w:t>
      </w:r>
      <w:bookmarkEnd w:id="53"/>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336"/>
        <w:gridCol w:w="3402"/>
      </w:tblGrid>
      <w:tr w14:paraId="551348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jc w:val="center"/>
        </w:trPr>
        <w:tc>
          <w:tcPr>
            <w:tcW w:w="3336" w:type="dxa"/>
            <w:shd w:val="clear" w:color="auto" w:fill="E6E6E6"/>
            <w:vAlign w:val="center"/>
          </w:tcPr>
          <w:p w14:paraId="11EFA678">
            <w:pPr>
              <w:jc w:val="center"/>
            </w:pPr>
            <w:r>
              <w:rPr>
                <w:rFonts w:hint="eastAsia"/>
              </w:rPr>
              <w:t>部位</w:t>
            </w:r>
          </w:p>
        </w:tc>
        <w:tc>
          <w:tcPr>
            <w:tcW w:w="3402" w:type="dxa"/>
            <w:shd w:val="clear" w:color="auto" w:fill="E6E6E6"/>
            <w:vAlign w:val="center"/>
          </w:tcPr>
          <w:p w14:paraId="31D2035D">
            <w:pPr>
              <w:jc w:val="center"/>
            </w:pPr>
            <w:r>
              <w:rPr>
                <w:rFonts w:hint="eastAsia"/>
              </w:rPr>
              <w:t>反射比材料设计取值</w:t>
            </w:r>
          </w:p>
        </w:tc>
      </w:tr>
      <w:tr w14:paraId="5C1C6B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36" w:type="dxa"/>
            <w:shd w:val="clear" w:color="auto" w:fill="auto"/>
            <w:vAlign w:val="center"/>
          </w:tcPr>
          <w:p w14:paraId="5FDD8DFC">
            <w:pPr>
              <w:jc w:val="center"/>
            </w:pPr>
            <w:r>
              <w:rPr>
                <w:rFonts w:hint="eastAsia"/>
              </w:rPr>
              <w:t>顶棚</w:t>
            </w:r>
          </w:p>
        </w:tc>
        <w:tc>
          <w:tcPr>
            <w:tcW w:w="3402" w:type="dxa"/>
            <w:shd w:val="clear" w:color="auto" w:fill="auto"/>
            <w:vAlign w:val="center"/>
          </w:tcPr>
          <w:p w14:paraId="519CD363">
            <w:pPr>
              <w:jc w:val="center"/>
            </w:pPr>
            <w:bookmarkStart w:id="54" w:name="顶棚反射比"/>
            <w:r>
              <w:rPr>
                <w:rFonts w:hint="eastAsia"/>
              </w:rPr>
              <w:t>0.75</w:t>
            </w:r>
            <w:bookmarkEnd w:id="54"/>
          </w:p>
        </w:tc>
      </w:tr>
      <w:tr w14:paraId="1C8561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36" w:type="dxa"/>
            <w:shd w:val="clear" w:color="auto" w:fill="auto"/>
            <w:vAlign w:val="center"/>
          </w:tcPr>
          <w:p w14:paraId="49673B6C">
            <w:pPr>
              <w:jc w:val="center"/>
            </w:pPr>
            <w:r>
              <w:rPr>
                <w:rFonts w:hint="eastAsia"/>
              </w:rPr>
              <w:t>地面</w:t>
            </w:r>
          </w:p>
        </w:tc>
        <w:tc>
          <w:tcPr>
            <w:tcW w:w="3402" w:type="dxa"/>
            <w:shd w:val="clear" w:color="auto" w:fill="auto"/>
            <w:vAlign w:val="center"/>
          </w:tcPr>
          <w:p w14:paraId="185F83C4">
            <w:pPr>
              <w:jc w:val="center"/>
            </w:pPr>
            <w:bookmarkStart w:id="55" w:name="地面反射比"/>
            <w:r>
              <w:rPr>
                <w:rFonts w:hint="eastAsia"/>
              </w:rPr>
              <w:t>0.30</w:t>
            </w:r>
            <w:bookmarkEnd w:id="55"/>
          </w:p>
        </w:tc>
      </w:tr>
      <w:tr w14:paraId="25394A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36" w:type="dxa"/>
            <w:shd w:val="clear" w:color="auto" w:fill="auto"/>
            <w:vAlign w:val="center"/>
          </w:tcPr>
          <w:p w14:paraId="44034B9A">
            <w:pPr>
              <w:jc w:val="center"/>
            </w:pPr>
            <w:r>
              <w:rPr>
                <w:rFonts w:hint="eastAsia"/>
              </w:rPr>
              <w:t>墙面</w:t>
            </w:r>
          </w:p>
        </w:tc>
        <w:tc>
          <w:tcPr>
            <w:tcW w:w="3402" w:type="dxa"/>
            <w:shd w:val="clear" w:color="auto" w:fill="auto"/>
            <w:vAlign w:val="center"/>
          </w:tcPr>
          <w:p w14:paraId="4D7838C6">
            <w:pPr>
              <w:jc w:val="center"/>
            </w:pPr>
            <w:bookmarkStart w:id="56" w:name="墙面反射比"/>
            <w:r>
              <w:rPr>
                <w:rFonts w:hint="eastAsia"/>
              </w:rPr>
              <w:t>0.60</w:t>
            </w:r>
            <w:bookmarkEnd w:id="56"/>
          </w:p>
        </w:tc>
      </w:tr>
      <w:tr w14:paraId="3E57D0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36" w:type="dxa"/>
            <w:shd w:val="clear" w:color="auto" w:fill="auto"/>
            <w:vAlign w:val="center"/>
          </w:tcPr>
          <w:p w14:paraId="21E043F9">
            <w:pPr>
              <w:jc w:val="center"/>
            </w:pPr>
            <w:r>
              <w:rPr>
                <w:rFonts w:hint="eastAsia"/>
              </w:rPr>
              <w:t>外表面</w:t>
            </w:r>
          </w:p>
        </w:tc>
        <w:tc>
          <w:tcPr>
            <w:tcW w:w="3402" w:type="dxa"/>
            <w:shd w:val="clear" w:color="auto" w:fill="auto"/>
            <w:vAlign w:val="center"/>
          </w:tcPr>
          <w:p w14:paraId="339C58D6">
            <w:pPr>
              <w:jc w:val="center"/>
            </w:pPr>
            <w:bookmarkStart w:id="57" w:name="外表面反射比"/>
            <w:r>
              <w:rPr>
                <w:rFonts w:hint="eastAsia"/>
              </w:rPr>
              <w:t>0.30</w:t>
            </w:r>
            <w:bookmarkEnd w:id="57"/>
          </w:p>
        </w:tc>
      </w:tr>
    </w:tbl>
    <w:p w14:paraId="49E9F497">
      <w:pPr>
        <w:pStyle w:val="13"/>
        <w:spacing w:line="360" w:lineRule="auto"/>
        <w:ind w:leftChars="400" w:firstLine="360"/>
        <w:jc w:val="left"/>
        <w:rPr>
          <w:rFonts w:ascii="微软雅黑" w:hAnsi="微软雅黑"/>
          <w:sz w:val="18"/>
          <w:szCs w:val="18"/>
        </w:rPr>
      </w:pPr>
      <w:r>
        <w:rPr>
          <w:rFonts w:ascii="微软雅黑" w:hAnsi="微软雅黑"/>
          <w:sz w:val="18"/>
          <w:szCs w:val="18"/>
        </w:rPr>
        <w:t>注</w:t>
      </w:r>
      <w:r>
        <w:rPr>
          <w:rFonts w:hint="eastAsia" w:ascii="微软雅黑" w:hAnsi="微软雅黑"/>
          <w:sz w:val="18"/>
          <w:szCs w:val="18"/>
        </w:rPr>
        <w:t>1</w:t>
      </w:r>
      <w:r>
        <w:rPr>
          <w:rFonts w:ascii="微软雅黑" w:hAnsi="微软雅黑"/>
          <w:sz w:val="18"/>
          <w:szCs w:val="18"/>
        </w:rPr>
        <w:t>：</w:t>
      </w:r>
      <w:r>
        <w:rPr>
          <w:rFonts w:hint="eastAsia" w:ascii="微软雅黑" w:hAnsi="微软雅黑"/>
          <w:sz w:val="18"/>
          <w:szCs w:val="18"/>
        </w:rPr>
        <w:t>数据参考自：《建筑采光设计标准》</w:t>
      </w:r>
      <w:r>
        <w:rPr>
          <w:rFonts w:ascii="微软雅黑" w:hAnsi="微软雅黑"/>
          <w:sz w:val="18"/>
          <w:szCs w:val="18"/>
        </w:rPr>
        <w:t>GB50033-2013</w:t>
      </w:r>
      <w:r>
        <w:rPr>
          <w:rFonts w:hint="eastAsia" w:ascii="微软雅黑" w:hAnsi="微软雅黑"/>
          <w:sz w:val="18"/>
          <w:szCs w:val="18"/>
        </w:rPr>
        <w:t>附录</w:t>
      </w:r>
      <w:r>
        <w:rPr>
          <w:rFonts w:ascii="微软雅黑" w:hAnsi="微软雅黑"/>
          <w:sz w:val="18"/>
          <w:szCs w:val="18"/>
        </w:rPr>
        <w:t>D</w:t>
      </w:r>
      <w:r>
        <w:rPr>
          <w:rFonts w:hint="eastAsia" w:ascii="微软雅黑" w:hAnsi="微软雅黑"/>
          <w:sz w:val="18"/>
          <w:szCs w:val="18"/>
        </w:rPr>
        <w:t xml:space="preserve"> 表D.0.5；</w:t>
      </w:r>
    </w:p>
    <w:p w14:paraId="2F59267D">
      <w:pPr>
        <w:pStyle w:val="4"/>
      </w:pPr>
      <w:bookmarkStart w:id="58" w:name="_Toc4785"/>
      <w:r>
        <w:rPr>
          <w:rFonts w:hint="eastAsia"/>
        </w:rPr>
        <w:t>门窗类型参数</w:t>
      </w:r>
      <w:bookmarkEnd w:id="58"/>
    </w:p>
    <w:p w14:paraId="0A2656E4">
      <w:pPr>
        <w:ind w:firstLine="420" w:firstLineChars="200"/>
        <w:rPr>
          <w:lang w:val="en-US"/>
        </w:rPr>
      </w:pPr>
      <w:r>
        <w:rPr>
          <w:rFonts w:hint="eastAsia"/>
          <w:lang w:val="en-US"/>
        </w:rPr>
        <w:t>窗户决定了建筑内部的采光水平。工程中最为常见也最广为使用的一种采光途径就是在建筑侧墙上安装窗户或者在建筑顶部安装天窗等采光构件。窗的位置、尺寸、形态等都会对室内采光带来不同程度的影响。建筑中的常用的透光门也会对自然光的传播提供便利。这些透光构件的性能参数与采光系数的计算息息相关。</w:t>
      </w:r>
    </w:p>
    <w:p w14:paraId="5E9C7A2A">
      <w:pPr>
        <w:rPr>
          <w:lang w:val="en-US"/>
        </w:rPr>
      </w:pPr>
    </w:p>
    <w:p w14:paraId="34077A65">
      <w:pPr>
        <w:pStyle w:val="5"/>
      </w:pPr>
      <w:bookmarkStart w:id="59" w:name="_Toc22375"/>
      <w:bookmarkStart w:id="60" w:name="窗"/>
      <w:r>
        <w:t>普通</w:t>
      </w:r>
      <w:r>
        <w:rPr>
          <w:rFonts w:hint="eastAsia"/>
        </w:rPr>
        <w:t>窗</w:t>
      </w:r>
      <w:bookmarkEnd w:id="59"/>
    </w:p>
    <w:bookmarkEnd w:id="60"/>
    <w:tbl>
      <w:tblPr>
        <w:tblStyle w:val="19"/>
        <w:tblW w:w="9327"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358"/>
        <w:gridCol w:w="1245"/>
        <w:gridCol w:w="1245"/>
        <w:gridCol w:w="1301"/>
        <w:gridCol w:w="1301"/>
        <w:gridCol w:w="1516"/>
        <w:gridCol w:w="1358"/>
      </w:tblGrid>
      <w:tr w14:paraId="391F6F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0421FF88">
            <w:pPr>
              <w:jc w:val="center"/>
            </w:pPr>
            <w:r>
              <w:t>门窗编号</w:t>
            </w:r>
          </w:p>
        </w:tc>
        <w:tc>
          <w:tcPr>
            <w:shd w:val="clear" w:color="auto" w:fill="E6E6E6"/>
            <w:vAlign w:val="center"/>
          </w:tcPr>
          <w:p w14:paraId="0F182351">
            <w:pPr>
              <w:jc w:val="center"/>
            </w:pPr>
            <w:r>
              <w:t>宽度(mm)</w:t>
            </w:r>
          </w:p>
        </w:tc>
        <w:tc>
          <w:tcPr>
            <w:shd w:val="clear" w:color="auto" w:fill="E6E6E6"/>
            <w:vAlign w:val="center"/>
          </w:tcPr>
          <w:p w14:paraId="2940E1DD">
            <w:pPr>
              <w:jc w:val="center"/>
            </w:pPr>
            <w:r>
              <w:t>高度(mm)</w:t>
            </w:r>
          </w:p>
        </w:tc>
        <w:tc>
          <w:tcPr>
            <w:shd w:val="clear" w:color="auto" w:fill="E6E6E6"/>
            <w:vAlign w:val="center"/>
          </w:tcPr>
          <w:p w14:paraId="569C3776">
            <w:pPr>
              <w:jc w:val="center"/>
            </w:pPr>
            <w:r>
              <w:t>窗框类型</w:t>
            </w:r>
          </w:p>
        </w:tc>
        <w:tc>
          <w:tcPr>
            <w:shd w:val="clear" w:color="auto" w:fill="E6E6E6"/>
            <w:vAlign w:val="center"/>
          </w:tcPr>
          <w:p w14:paraId="7AE7C12A">
            <w:pPr>
              <w:jc w:val="center"/>
            </w:pPr>
            <w:r>
              <w:t>玻璃类型</w:t>
            </w:r>
          </w:p>
        </w:tc>
        <w:tc>
          <w:tcPr>
            <w:shd w:val="clear" w:color="auto" w:fill="E6E6E6"/>
            <w:vAlign w:val="center"/>
          </w:tcPr>
          <w:p w14:paraId="7BDACB41">
            <w:pPr>
              <w:jc w:val="center"/>
            </w:pPr>
            <w:r>
              <w:t>可见光透射比</w:t>
            </w:r>
          </w:p>
        </w:tc>
        <w:tc>
          <w:tcPr>
            <w:shd w:val="clear" w:color="auto" w:fill="E6E6E6"/>
            <w:vAlign w:val="center"/>
          </w:tcPr>
          <w:p w14:paraId="13F5195A">
            <w:pPr>
              <w:jc w:val="center"/>
            </w:pPr>
            <w:r>
              <w:t>玻璃反射比</w:t>
            </w:r>
          </w:p>
        </w:tc>
      </w:tr>
      <w:tr w14:paraId="7A5C53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761F9A6C">
            <w:pPr>
              <w:jc w:val="center"/>
            </w:pPr>
          </w:p>
        </w:tc>
        <w:tc>
          <w:tcPr>
            <w:vAlign w:val="center"/>
          </w:tcPr>
          <w:p w14:paraId="77F5CCEB">
            <w:pPr>
              <w:jc w:val="center"/>
            </w:pPr>
            <w:r>
              <w:t>3300</w:t>
            </w:r>
          </w:p>
        </w:tc>
        <w:tc>
          <w:tcPr>
            <w:vAlign w:val="center"/>
          </w:tcPr>
          <w:p w14:paraId="571F6746">
            <w:pPr>
              <w:jc w:val="center"/>
            </w:pPr>
            <w:r>
              <w:t>1562</w:t>
            </w:r>
          </w:p>
        </w:tc>
        <w:tc>
          <w:tcPr>
            <w:vAlign w:val="center"/>
          </w:tcPr>
          <w:p w14:paraId="2E3AF132">
            <w:pPr>
              <w:jc w:val="center"/>
            </w:pPr>
            <w:r>
              <w:t>单层铝窗</w:t>
            </w:r>
          </w:p>
        </w:tc>
        <w:tc>
          <w:tcPr>
            <w:vAlign w:val="center"/>
          </w:tcPr>
          <w:p w14:paraId="57B93A44">
            <w:pPr>
              <w:jc w:val="center"/>
            </w:pPr>
            <w:r>
              <w:t>普通玻璃</w:t>
            </w:r>
          </w:p>
        </w:tc>
        <w:tc>
          <w:tcPr>
            <w:vAlign w:val="center"/>
          </w:tcPr>
          <w:p w14:paraId="32DAF638">
            <w:pPr>
              <w:jc w:val="center"/>
            </w:pPr>
            <w:r>
              <w:t>0.89</w:t>
            </w:r>
          </w:p>
        </w:tc>
        <w:tc>
          <w:tcPr>
            <w:vAlign w:val="center"/>
          </w:tcPr>
          <w:p w14:paraId="5ABD7204">
            <w:pPr>
              <w:jc w:val="center"/>
            </w:pPr>
            <w:r>
              <w:t>0.08</w:t>
            </w:r>
          </w:p>
        </w:tc>
      </w:tr>
      <w:tr w14:paraId="131896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26B2C60B">
            <w:pPr>
              <w:jc w:val="center"/>
            </w:pPr>
            <w:r>
              <w:t>C1816</w:t>
            </w:r>
          </w:p>
        </w:tc>
        <w:tc>
          <w:tcPr>
            <w:vAlign w:val="center"/>
          </w:tcPr>
          <w:p w14:paraId="3C4E76E4">
            <w:pPr>
              <w:jc w:val="center"/>
            </w:pPr>
            <w:r>
              <w:t>1800</w:t>
            </w:r>
          </w:p>
        </w:tc>
        <w:tc>
          <w:tcPr>
            <w:vAlign w:val="center"/>
          </w:tcPr>
          <w:p w14:paraId="452E2836">
            <w:pPr>
              <w:jc w:val="center"/>
            </w:pPr>
            <w:r>
              <w:t>1562</w:t>
            </w:r>
          </w:p>
        </w:tc>
        <w:tc>
          <w:tcPr>
            <w:vAlign w:val="center"/>
          </w:tcPr>
          <w:p w14:paraId="3995C457">
            <w:pPr>
              <w:jc w:val="center"/>
            </w:pPr>
            <w:r>
              <w:t>单层铝窗</w:t>
            </w:r>
          </w:p>
        </w:tc>
        <w:tc>
          <w:tcPr>
            <w:vAlign w:val="center"/>
          </w:tcPr>
          <w:p w14:paraId="03061D1B">
            <w:pPr>
              <w:jc w:val="center"/>
            </w:pPr>
            <w:r>
              <w:t>普通玻璃</w:t>
            </w:r>
          </w:p>
        </w:tc>
        <w:tc>
          <w:tcPr>
            <w:vAlign w:val="center"/>
          </w:tcPr>
          <w:p w14:paraId="7356287F">
            <w:pPr>
              <w:jc w:val="center"/>
            </w:pPr>
            <w:r>
              <w:t>0.89</w:t>
            </w:r>
          </w:p>
        </w:tc>
        <w:tc>
          <w:tcPr>
            <w:vAlign w:val="center"/>
          </w:tcPr>
          <w:p w14:paraId="26453735">
            <w:pPr>
              <w:jc w:val="center"/>
            </w:pPr>
            <w:r>
              <w:t>0.08</w:t>
            </w:r>
          </w:p>
        </w:tc>
      </w:tr>
      <w:tr w14:paraId="003DDF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728DAF5C">
            <w:pPr>
              <w:jc w:val="center"/>
            </w:pPr>
            <w:r>
              <w:t>C2916</w:t>
            </w:r>
          </w:p>
        </w:tc>
        <w:tc>
          <w:tcPr>
            <w:vAlign w:val="center"/>
          </w:tcPr>
          <w:p w14:paraId="46AE3D55">
            <w:pPr>
              <w:jc w:val="center"/>
            </w:pPr>
            <w:r>
              <w:t>2866</w:t>
            </w:r>
          </w:p>
        </w:tc>
        <w:tc>
          <w:tcPr>
            <w:vAlign w:val="center"/>
          </w:tcPr>
          <w:p w14:paraId="299F20B7">
            <w:pPr>
              <w:jc w:val="center"/>
            </w:pPr>
            <w:r>
              <w:t>1562</w:t>
            </w:r>
          </w:p>
        </w:tc>
        <w:tc>
          <w:tcPr>
            <w:vAlign w:val="center"/>
          </w:tcPr>
          <w:p w14:paraId="4EE3D3D1">
            <w:pPr>
              <w:jc w:val="center"/>
            </w:pPr>
            <w:r>
              <w:t>单层铝窗</w:t>
            </w:r>
          </w:p>
        </w:tc>
        <w:tc>
          <w:tcPr>
            <w:vAlign w:val="center"/>
          </w:tcPr>
          <w:p w14:paraId="312594E8">
            <w:pPr>
              <w:jc w:val="center"/>
            </w:pPr>
            <w:r>
              <w:t>普通玻璃</w:t>
            </w:r>
          </w:p>
        </w:tc>
        <w:tc>
          <w:tcPr>
            <w:vAlign w:val="center"/>
          </w:tcPr>
          <w:p w14:paraId="2310DCA4">
            <w:pPr>
              <w:jc w:val="center"/>
            </w:pPr>
            <w:r>
              <w:t>0.89</w:t>
            </w:r>
          </w:p>
        </w:tc>
        <w:tc>
          <w:tcPr>
            <w:vAlign w:val="center"/>
          </w:tcPr>
          <w:p w14:paraId="19C8A00F">
            <w:pPr>
              <w:jc w:val="center"/>
            </w:pPr>
            <w:r>
              <w:t>0.08</w:t>
            </w:r>
          </w:p>
        </w:tc>
      </w:tr>
      <w:tr w14:paraId="50D6FE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7596179A">
            <w:pPr>
              <w:jc w:val="center"/>
            </w:pPr>
            <w:r>
              <w:t>C3316</w:t>
            </w:r>
          </w:p>
        </w:tc>
        <w:tc>
          <w:tcPr>
            <w:vAlign w:val="center"/>
          </w:tcPr>
          <w:p w14:paraId="27C9E966">
            <w:pPr>
              <w:jc w:val="center"/>
            </w:pPr>
            <w:r>
              <w:t>3300</w:t>
            </w:r>
          </w:p>
        </w:tc>
        <w:tc>
          <w:tcPr>
            <w:vAlign w:val="center"/>
          </w:tcPr>
          <w:p w14:paraId="5C3074D6">
            <w:pPr>
              <w:jc w:val="center"/>
            </w:pPr>
            <w:r>
              <w:t>1562</w:t>
            </w:r>
          </w:p>
        </w:tc>
        <w:tc>
          <w:tcPr>
            <w:vAlign w:val="center"/>
          </w:tcPr>
          <w:p w14:paraId="21514679">
            <w:pPr>
              <w:jc w:val="center"/>
            </w:pPr>
            <w:r>
              <w:t>单层铝窗</w:t>
            </w:r>
          </w:p>
        </w:tc>
        <w:tc>
          <w:tcPr>
            <w:vAlign w:val="center"/>
          </w:tcPr>
          <w:p w14:paraId="1B8CB8D5">
            <w:pPr>
              <w:jc w:val="center"/>
            </w:pPr>
            <w:r>
              <w:t>普通玻璃</w:t>
            </w:r>
          </w:p>
        </w:tc>
        <w:tc>
          <w:tcPr>
            <w:vAlign w:val="center"/>
          </w:tcPr>
          <w:p w14:paraId="0761EE58">
            <w:pPr>
              <w:jc w:val="center"/>
            </w:pPr>
            <w:r>
              <w:t>0.89</w:t>
            </w:r>
          </w:p>
        </w:tc>
        <w:tc>
          <w:tcPr>
            <w:vAlign w:val="center"/>
          </w:tcPr>
          <w:p w14:paraId="26AFFCEF">
            <w:pPr>
              <w:jc w:val="center"/>
            </w:pPr>
            <w:r>
              <w:t>0.08</w:t>
            </w:r>
          </w:p>
        </w:tc>
      </w:tr>
    </w:tbl>
    <w:p w14:paraId="1DEF4611">
      <w:pPr>
        <w:rPr>
          <w:lang w:val="en-US"/>
        </w:rPr>
      </w:pPr>
      <w:r>
        <w:rPr>
          <w:lang w:val="en-US"/>
        </w:rPr>
        <w:t>注：计算考虑了外窗玻璃的污染折减系数影响，系数取值0.9。</w:t>
      </w:r>
    </w:p>
    <w:p w14:paraId="301A3D98">
      <w:pPr>
        <w:rPr>
          <w:lang w:val="en-US"/>
        </w:rPr>
      </w:pPr>
    </w:p>
    <w:p w14:paraId="7F5FB7B0">
      <w:pPr>
        <w:pStyle w:val="5"/>
      </w:pPr>
      <w:bookmarkStart w:id="61" w:name="_Toc20969"/>
      <w:bookmarkStart w:id="62" w:name="幕墙"/>
      <w:r>
        <w:rPr>
          <w:rFonts w:hint="eastAsia"/>
        </w:rPr>
        <w:t>玻璃幕墙</w:t>
      </w:r>
      <w:bookmarkEnd w:id="61"/>
    </w:p>
    <w:bookmarkEnd w:id="62"/>
    <w:tbl>
      <w:tblPr>
        <w:tblStyle w:val="19"/>
        <w:tblW w:w="9327"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358"/>
        <w:gridCol w:w="1245"/>
        <w:gridCol w:w="1245"/>
        <w:gridCol w:w="1301"/>
        <w:gridCol w:w="1301"/>
        <w:gridCol w:w="1516"/>
        <w:gridCol w:w="1358"/>
      </w:tblGrid>
      <w:tr w14:paraId="3D6579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4104282A">
            <w:pPr>
              <w:jc w:val="center"/>
            </w:pPr>
            <w:r>
              <w:t>门窗编号</w:t>
            </w:r>
          </w:p>
        </w:tc>
        <w:tc>
          <w:tcPr>
            <w:shd w:val="clear" w:color="auto" w:fill="E6E6E6"/>
            <w:vAlign w:val="center"/>
          </w:tcPr>
          <w:p w14:paraId="786932C4">
            <w:pPr>
              <w:jc w:val="center"/>
            </w:pPr>
            <w:r>
              <w:t>宽度(mm)</w:t>
            </w:r>
          </w:p>
        </w:tc>
        <w:tc>
          <w:tcPr>
            <w:shd w:val="clear" w:color="auto" w:fill="E6E6E6"/>
            <w:vAlign w:val="center"/>
          </w:tcPr>
          <w:p w14:paraId="32302D9E">
            <w:pPr>
              <w:jc w:val="center"/>
            </w:pPr>
            <w:r>
              <w:t>高度(mm)</w:t>
            </w:r>
          </w:p>
        </w:tc>
        <w:tc>
          <w:tcPr>
            <w:shd w:val="clear" w:color="auto" w:fill="E6E6E6"/>
            <w:vAlign w:val="center"/>
          </w:tcPr>
          <w:p w14:paraId="5709C479">
            <w:pPr>
              <w:jc w:val="center"/>
            </w:pPr>
            <w:r>
              <w:t>窗框类型</w:t>
            </w:r>
          </w:p>
        </w:tc>
        <w:tc>
          <w:tcPr>
            <w:shd w:val="clear" w:color="auto" w:fill="E6E6E6"/>
            <w:vAlign w:val="center"/>
          </w:tcPr>
          <w:p w14:paraId="127B37CC">
            <w:pPr>
              <w:jc w:val="center"/>
            </w:pPr>
            <w:r>
              <w:t>玻璃类型</w:t>
            </w:r>
          </w:p>
        </w:tc>
        <w:tc>
          <w:tcPr>
            <w:shd w:val="clear" w:color="auto" w:fill="E6E6E6"/>
            <w:vAlign w:val="center"/>
          </w:tcPr>
          <w:p w14:paraId="5450A86A">
            <w:pPr>
              <w:jc w:val="center"/>
            </w:pPr>
            <w:r>
              <w:t>可见光透射比</w:t>
            </w:r>
          </w:p>
        </w:tc>
        <w:tc>
          <w:tcPr>
            <w:shd w:val="clear" w:color="auto" w:fill="E6E6E6"/>
            <w:vAlign w:val="center"/>
          </w:tcPr>
          <w:p w14:paraId="3F3F7376">
            <w:pPr>
              <w:jc w:val="center"/>
            </w:pPr>
            <w:r>
              <w:t>玻璃反射比</w:t>
            </w:r>
          </w:p>
        </w:tc>
      </w:tr>
      <w:tr w14:paraId="46FEC8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2E0E7F8D">
            <w:pPr>
              <w:jc w:val="center"/>
            </w:pPr>
          </w:p>
        </w:tc>
        <w:tc>
          <w:tcPr>
            <w:vAlign w:val="center"/>
          </w:tcPr>
          <w:p w14:paraId="17BE4F47">
            <w:pPr>
              <w:jc w:val="center"/>
            </w:pPr>
            <w:r>
              <w:t>42000</w:t>
            </w:r>
          </w:p>
        </w:tc>
        <w:tc>
          <w:tcPr>
            <w:vAlign w:val="center"/>
          </w:tcPr>
          <w:p w14:paraId="416FD8BF">
            <w:pPr>
              <w:jc w:val="center"/>
            </w:pPr>
            <w:r>
              <w:t>3600</w:t>
            </w:r>
          </w:p>
        </w:tc>
        <w:tc>
          <w:tcPr>
            <w:vAlign w:val="center"/>
          </w:tcPr>
          <w:p w14:paraId="4284E201">
            <w:pPr>
              <w:jc w:val="center"/>
            </w:pPr>
            <w:r>
              <w:t>单层铝窗</w:t>
            </w:r>
          </w:p>
        </w:tc>
        <w:tc>
          <w:tcPr>
            <w:vAlign w:val="center"/>
          </w:tcPr>
          <w:p w14:paraId="47D4F295">
            <w:pPr>
              <w:jc w:val="center"/>
            </w:pPr>
            <w:r>
              <w:t>普通玻璃</w:t>
            </w:r>
          </w:p>
        </w:tc>
        <w:tc>
          <w:tcPr>
            <w:vAlign w:val="center"/>
          </w:tcPr>
          <w:p w14:paraId="3FC45384">
            <w:pPr>
              <w:jc w:val="center"/>
            </w:pPr>
            <w:r>
              <w:t>0.89</w:t>
            </w:r>
          </w:p>
        </w:tc>
        <w:tc>
          <w:tcPr>
            <w:vAlign w:val="center"/>
          </w:tcPr>
          <w:p w14:paraId="4740108C">
            <w:pPr>
              <w:jc w:val="center"/>
            </w:pPr>
            <w:r>
              <w:t>0.08</w:t>
            </w:r>
          </w:p>
        </w:tc>
      </w:tr>
    </w:tbl>
    <w:p w14:paraId="1616E003">
      <w:pPr>
        <w:rPr>
          <w:lang w:val="en-US"/>
        </w:rPr>
      </w:pPr>
      <w:r>
        <w:rPr>
          <w:lang w:val="en-US"/>
        </w:rPr>
        <w:t>注：计算考虑了外窗玻璃的污染折减系数影响，系数取值0.9。</w:t>
      </w:r>
    </w:p>
    <w:p w14:paraId="665D6ACF">
      <w:pPr>
        <w:rPr>
          <w:lang w:val="en-US"/>
        </w:rPr>
      </w:pPr>
    </w:p>
    <w:p w14:paraId="069C9D59">
      <w:pPr>
        <w:pStyle w:val="5"/>
      </w:pPr>
      <w:bookmarkStart w:id="63" w:name="_Toc21667"/>
      <w:bookmarkStart w:id="64" w:name="天窗"/>
      <w:r>
        <w:rPr>
          <w:rFonts w:hint="eastAsia"/>
        </w:rPr>
        <w:t xml:space="preserve">天 </w:t>
      </w:r>
      <w:r>
        <w:t xml:space="preserve"> </w:t>
      </w:r>
      <w:r>
        <w:rPr>
          <w:rFonts w:hint="eastAsia"/>
        </w:rPr>
        <w:t>窗</w:t>
      </w:r>
      <w:bookmarkEnd w:id="63"/>
    </w:p>
    <w:bookmarkEnd w:id="64"/>
    <w:tbl>
      <w:tblPr>
        <w:tblStyle w:val="19"/>
        <w:tblW w:w="9327"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092"/>
        <w:gridCol w:w="1103"/>
        <w:gridCol w:w="1103"/>
        <w:gridCol w:w="962"/>
        <w:gridCol w:w="1131"/>
        <w:gridCol w:w="1131"/>
        <w:gridCol w:w="1499"/>
        <w:gridCol w:w="1301"/>
      </w:tblGrid>
      <w:tr w14:paraId="3A5DF4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5B1A0C4">
            <w:pPr>
              <w:jc w:val="center"/>
            </w:pPr>
            <w:r>
              <w:t>门窗编号</w:t>
            </w:r>
          </w:p>
        </w:tc>
        <w:tc>
          <w:tcPr>
            <w:shd w:val="clear" w:color="auto" w:fill="E6E6E6"/>
            <w:vAlign w:val="center"/>
          </w:tcPr>
          <w:p w14:paraId="25ED9F7B">
            <w:pPr>
              <w:jc w:val="center"/>
            </w:pPr>
            <w:r>
              <w:t>宽度(mm)</w:t>
            </w:r>
          </w:p>
        </w:tc>
        <w:tc>
          <w:tcPr>
            <w:shd w:val="clear" w:color="auto" w:fill="E6E6E6"/>
            <w:vAlign w:val="center"/>
          </w:tcPr>
          <w:p w14:paraId="46BF989F">
            <w:pPr>
              <w:jc w:val="center"/>
            </w:pPr>
            <w:r>
              <w:t>高度(mm)</w:t>
            </w:r>
          </w:p>
        </w:tc>
        <w:tc>
          <w:tcPr>
            <w:shd w:val="clear" w:color="auto" w:fill="E6E6E6"/>
            <w:vAlign w:val="center"/>
          </w:tcPr>
          <w:p w14:paraId="70881769">
            <w:pPr>
              <w:jc w:val="center"/>
            </w:pPr>
            <w:r>
              <w:t>面积</w:t>
            </w:r>
          </w:p>
        </w:tc>
        <w:tc>
          <w:tcPr>
            <w:shd w:val="clear" w:color="auto" w:fill="E6E6E6"/>
            <w:vAlign w:val="center"/>
          </w:tcPr>
          <w:p w14:paraId="1B951576">
            <w:pPr>
              <w:jc w:val="center"/>
            </w:pPr>
            <w:r>
              <w:t>窗框类型</w:t>
            </w:r>
          </w:p>
        </w:tc>
        <w:tc>
          <w:tcPr>
            <w:shd w:val="clear" w:color="auto" w:fill="E6E6E6"/>
            <w:vAlign w:val="center"/>
          </w:tcPr>
          <w:p w14:paraId="6DD3CFEE">
            <w:pPr>
              <w:jc w:val="center"/>
            </w:pPr>
            <w:r>
              <w:t>玻璃类型</w:t>
            </w:r>
          </w:p>
        </w:tc>
        <w:tc>
          <w:tcPr>
            <w:shd w:val="clear" w:color="auto" w:fill="E6E6E6"/>
            <w:vAlign w:val="center"/>
          </w:tcPr>
          <w:p w14:paraId="5BEBD579">
            <w:pPr>
              <w:jc w:val="center"/>
            </w:pPr>
            <w:r>
              <w:t>可见光透射比</w:t>
            </w:r>
          </w:p>
        </w:tc>
        <w:tc>
          <w:tcPr>
            <w:shd w:val="clear" w:color="auto" w:fill="E6E6E6"/>
            <w:vAlign w:val="center"/>
          </w:tcPr>
          <w:p w14:paraId="4E554587">
            <w:pPr>
              <w:jc w:val="center"/>
            </w:pPr>
            <w:r>
              <w:t>玻璃反射比</w:t>
            </w:r>
          </w:p>
        </w:tc>
      </w:tr>
      <w:tr w14:paraId="6FEA10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109E11A5">
            <w:pPr>
              <w:jc w:val="center"/>
            </w:pPr>
            <w:r>
              <w:t>1</w:t>
            </w:r>
          </w:p>
        </w:tc>
        <w:tc>
          <w:tcPr>
            <w:vAlign w:val="center"/>
          </w:tcPr>
          <w:p w14:paraId="0BD3BD84">
            <w:pPr>
              <w:jc w:val="center"/>
            </w:pPr>
            <w:r>
              <w:t>42000</w:t>
            </w:r>
          </w:p>
        </w:tc>
        <w:tc>
          <w:tcPr>
            <w:vAlign w:val="center"/>
          </w:tcPr>
          <w:p w14:paraId="18855AFD">
            <w:pPr>
              <w:jc w:val="center"/>
            </w:pPr>
            <w:r>
              <w:t>16800</w:t>
            </w:r>
          </w:p>
        </w:tc>
        <w:tc>
          <w:tcPr>
            <w:vAlign w:val="center"/>
          </w:tcPr>
          <w:p w14:paraId="1B304BBD">
            <w:pPr>
              <w:jc w:val="center"/>
            </w:pPr>
            <w:r>
              <w:t>705.600</w:t>
            </w:r>
          </w:p>
        </w:tc>
        <w:tc>
          <w:tcPr>
            <w:vAlign w:val="center"/>
          </w:tcPr>
          <w:p w14:paraId="4B38A6FD">
            <w:pPr>
              <w:jc w:val="center"/>
            </w:pPr>
            <w:r>
              <w:t>单层铝窗</w:t>
            </w:r>
          </w:p>
        </w:tc>
        <w:tc>
          <w:tcPr>
            <w:vAlign w:val="center"/>
          </w:tcPr>
          <w:p w14:paraId="624E6435">
            <w:pPr>
              <w:jc w:val="center"/>
            </w:pPr>
            <w:r>
              <w:t>普通玻璃</w:t>
            </w:r>
          </w:p>
        </w:tc>
        <w:tc>
          <w:tcPr>
            <w:vAlign w:val="center"/>
          </w:tcPr>
          <w:p w14:paraId="33E5C8AA">
            <w:pPr>
              <w:jc w:val="center"/>
            </w:pPr>
            <w:r>
              <w:t>0.89</w:t>
            </w:r>
          </w:p>
        </w:tc>
        <w:tc>
          <w:tcPr>
            <w:vAlign w:val="center"/>
          </w:tcPr>
          <w:p w14:paraId="7A1BEAD7">
            <w:pPr>
              <w:jc w:val="center"/>
            </w:pPr>
            <w:r>
              <w:t>0.08</w:t>
            </w:r>
          </w:p>
        </w:tc>
      </w:tr>
      <w:tr w14:paraId="5F675C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6CFD00ED">
            <w:pPr>
              <w:jc w:val="center"/>
            </w:pPr>
            <w:r>
              <w:t>2</w:t>
            </w:r>
          </w:p>
        </w:tc>
        <w:tc>
          <w:tcPr>
            <w:vAlign w:val="center"/>
          </w:tcPr>
          <w:p w14:paraId="2A2B4D9C">
            <w:pPr>
              <w:jc w:val="center"/>
            </w:pPr>
            <w:r>
              <w:t>25200</w:t>
            </w:r>
          </w:p>
        </w:tc>
        <w:tc>
          <w:tcPr>
            <w:vAlign w:val="center"/>
          </w:tcPr>
          <w:p w14:paraId="2F508FED">
            <w:pPr>
              <w:jc w:val="center"/>
            </w:pPr>
            <w:r>
              <w:t>8400</w:t>
            </w:r>
          </w:p>
        </w:tc>
        <w:tc>
          <w:tcPr>
            <w:vAlign w:val="center"/>
          </w:tcPr>
          <w:p w14:paraId="3860F554">
            <w:pPr>
              <w:jc w:val="center"/>
            </w:pPr>
            <w:r>
              <w:t>211.680</w:t>
            </w:r>
          </w:p>
        </w:tc>
        <w:tc>
          <w:tcPr>
            <w:vAlign w:val="center"/>
          </w:tcPr>
          <w:p w14:paraId="079BA328">
            <w:pPr>
              <w:jc w:val="center"/>
            </w:pPr>
            <w:r>
              <w:t>单层铝窗</w:t>
            </w:r>
          </w:p>
        </w:tc>
        <w:tc>
          <w:tcPr>
            <w:vAlign w:val="center"/>
          </w:tcPr>
          <w:p w14:paraId="7F468A1B">
            <w:pPr>
              <w:jc w:val="center"/>
            </w:pPr>
            <w:r>
              <w:t>普通玻璃</w:t>
            </w:r>
          </w:p>
        </w:tc>
        <w:tc>
          <w:tcPr>
            <w:vAlign w:val="center"/>
          </w:tcPr>
          <w:p w14:paraId="5DF92E0D">
            <w:pPr>
              <w:jc w:val="center"/>
            </w:pPr>
            <w:r>
              <w:t>0.89</w:t>
            </w:r>
          </w:p>
        </w:tc>
        <w:tc>
          <w:tcPr>
            <w:vAlign w:val="center"/>
          </w:tcPr>
          <w:p w14:paraId="29D53E95">
            <w:pPr>
              <w:jc w:val="center"/>
            </w:pPr>
            <w:r>
              <w:t>0.08</w:t>
            </w:r>
          </w:p>
        </w:tc>
      </w:tr>
      <w:tr w14:paraId="71C11F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584AD47F">
            <w:pPr>
              <w:jc w:val="center"/>
            </w:pPr>
            <w:r>
              <w:t>3</w:t>
            </w:r>
          </w:p>
        </w:tc>
        <w:tc>
          <w:tcPr>
            <w:vAlign w:val="center"/>
          </w:tcPr>
          <w:p w14:paraId="3265D51C">
            <w:pPr>
              <w:jc w:val="center"/>
            </w:pPr>
            <w:r>
              <w:t>25200</w:t>
            </w:r>
          </w:p>
        </w:tc>
        <w:tc>
          <w:tcPr>
            <w:vAlign w:val="center"/>
          </w:tcPr>
          <w:p w14:paraId="2E0C69BA">
            <w:pPr>
              <w:jc w:val="center"/>
            </w:pPr>
            <w:r>
              <w:t>8400</w:t>
            </w:r>
          </w:p>
        </w:tc>
        <w:tc>
          <w:tcPr>
            <w:vAlign w:val="center"/>
          </w:tcPr>
          <w:p w14:paraId="79E4B992">
            <w:pPr>
              <w:jc w:val="center"/>
            </w:pPr>
            <w:r>
              <w:t>211.680</w:t>
            </w:r>
          </w:p>
        </w:tc>
        <w:tc>
          <w:tcPr>
            <w:vAlign w:val="center"/>
          </w:tcPr>
          <w:p w14:paraId="174A1FF6">
            <w:pPr>
              <w:jc w:val="center"/>
            </w:pPr>
            <w:r>
              <w:t>单层铝窗</w:t>
            </w:r>
          </w:p>
        </w:tc>
        <w:tc>
          <w:tcPr>
            <w:vAlign w:val="center"/>
          </w:tcPr>
          <w:p w14:paraId="1F718044">
            <w:pPr>
              <w:jc w:val="center"/>
            </w:pPr>
            <w:r>
              <w:t>普通玻璃</w:t>
            </w:r>
          </w:p>
        </w:tc>
        <w:tc>
          <w:tcPr>
            <w:vAlign w:val="center"/>
          </w:tcPr>
          <w:p w14:paraId="1979368B">
            <w:pPr>
              <w:jc w:val="center"/>
            </w:pPr>
            <w:r>
              <w:t>0.89</w:t>
            </w:r>
          </w:p>
        </w:tc>
        <w:tc>
          <w:tcPr>
            <w:vAlign w:val="center"/>
          </w:tcPr>
          <w:p w14:paraId="2667AE7B">
            <w:pPr>
              <w:jc w:val="center"/>
            </w:pPr>
            <w:r>
              <w:t>0.08</w:t>
            </w:r>
          </w:p>
        </w:tc>
      </w:tr>
      <w:tr w14:paraId="6F7F5F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4960982E">
            <w:pPr>
              <w:jc w:val="center"/>
            </w:pPr>
            <w:r>
              <w:t>4</w:t>
            </w:r>
          </w:p>
        </w:tc>
        <w:tc>
          <w:tcPr>
            <w:vAlign w:val="center"/>
          </w:tcPr>
          <w:p w14:paraId="2178DA8E">
            <w:pPr>
              <w:jc w:val="center"/>
            </w:pPr>
            <w:r>
              <w:t>42000</w:t>
            </w:r>
          </w:p>
        </w:tc>
        <w:tc>
          <w:tcPr>
            <w:vAlign w:val="center"/>
          </w:tcPr>
          <w:p w14:paraId="3C3F9CA4">
            <w:pPr>
              <w:jc w:val="center"/>
            </w:pPr>
            <w:r>
              <w:t>25200</w:t>
            </w:r>
          </w:p>
        </w:tc>
        <w:tc>
          <w:tcPr>
            <w:vAlign w:val="center"/>
          </w:tcPr>
          <w:p w14:paraId="6B55EF1B">
            <w:pPr>
              <w:jc w:val="center"/>
            </w:pPr>
            <w:r>
              <w:t>1058.400</w:t>
            </w:r>
          </w:p>
        </w:tc>
        <w:tc>
          <w:tcPr>
            <w:vAlign w:val="center"/>
          </w:tcPr>
          <w:p w14:paraId="0438DC49">
            <w:pPr>
              <w:jc w:val="center"/>
            </w:pPr>
            <w:r>
              <w:t>单层铝窗</w:t>
            </w:r>
          </w:p>
        </w:tc>
        <w:tc>
          <w:tcPr>
            <w:vAlign w:val="center"/>
          </w:tcPr>
          <w:p w14:paraId="376B5966">
            <w:pPr>
              <w:jc w:val="center"/>
            </w:pPr>
            <w:r>
              <w:t>普通玻璃</w:t>
            </w:r>
          </w:p>
        </w:tc>
        <w:tc>
          <w:tcPr>
            <w:vAlign w:val="center"/>
          </w:tcPr>
          <w:p w14:paraId="60DFDFAB">
            <w:pPr>
              <w:jc w:val="center"/>
            </w:pPr>
            <w:r>
              <w:t>0.89</w:t>
            </w:r>
          </w:p>
        </w:tc>
        <w:tc>
          <w:tcPr>
            <w:vAlign w:val="center"/>
          </w:tcPr>
          <w:p w14:paraId="3452706E">
            <w:pPr>
              <w:jc w:val="center"/>
            </w:pPr>
            <w:r>
              <w:t>0.08</w:t>
            </w:r>
          </w:p>
        </w:tc>
      </w:tr>
    </w:tbl>
    <w:p w14:paraId="414D1308">
      <w:pPr>
        <w:rPr>
          <w:lang w:val="en-US"/>
        </w:rPr>
      </w:pPr>
      <w:r>
        <w:rPr>
          <w:lang w:val="en-US"/>
        </w:rPr>
        <w:t>注：</w:t>
      </w:r>
    </w:p>
    <w:p w14:paraId="06F7C985">
      <w:pPr>
        <w:rPr>
          <w:lang w:val="en-US"/>
        </w:rPr>
      </w:pPr>
      <w:r>
        <w:rPr>
          <w:lang w:val="en-US"/>
        </w:rPr>
        <w:t>1.计算考虑了外窗玻璃的污染折减系数影响，系数取值和房间洁净度、玻璃倾角有关以及是否属于多雨地区有关。按照《建筑采光设计标准》GB50033附录表D.0.7取值。</w:t>
      </w:r>
    </w:p>
    <w:p w14:paraId="44E0007C">
      <w:pPr>
        <w:pStyle w:val="3"/>
        <w:ind w:firstLine="0" w:firstLineChars="0"/>
        <w:rPr>
          <w:rFonts w:ascii="宋体" w:hAnsi="宋体"/>
        </w:rPr>
      </w:pPr>
      <w:bookmarkStart w:id="65" w:name="窗污染折减系数"/>
      <w:bookmarkEnd w:id="65"/>
    </w:p>
    <w:p w14:paraId="607F6212">
      <w:pPr>
        <w:pStyle w:val="2"/>
        <w:ind w:left="432" w:hanging="432"/>
      </w:pPr>
      <w:bookmarkStart w:id="66" w:name="_Toc20772"/>
      <w:r>
        <w:rPr>
          <w:rFonts w:hint="eastAsia"/>
        </w:rPr>
        <w:t>分析结果展示</w:t>
      </w:r>
      <w:bookmarkEnd w:id="66"/>
    </w:p>
    <w:p w14:paraId="11E24241">
      <w:pPr>
        <w:pStyle w:val="33"/>
        <w:rPr>
          <w:lang w:val="en-US"/>
        </w:rPr>
      </w:pPr>
      <w:bookmarkStart w:id="67" w:name="地下达标图"/>
      <w:bookmarkEnd w:id="67"/>
    </w:p>
    <w:p w14:paraId="301478CD">
      <w:pPr>
        <w:pStyle w:val="33"/>
        <w:rPr>
          <w:lang w:val="en-US"/>
        </w:rPr>
      </w:pPr>
      <w:r>
        <w:drawing>
          <wp:inline distT="0" distB="0" distL="0" distR="0">
            <wp:extent cx="5667375" cy="3876675"/>
            <wp:effectExtent l="0" t="0" r="0" b="0"/>
            <wp:docPr id="35" name="图片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图片 35"/>
                    <pic:cNvPicPr>
                      <a:picLocks noChangeAspect="1"/>
                    </pic:cNvPicPr>
                  </pic:nvPicPr>
                  <pic:blipFill>
                    <a:blip r:embed="rId11"/>
                    <a:stretch>
                      <a:fillRect/>
                    </a:stretch>
                  </pic:blipFill>
                  <pic:spPr>
                    <a:xfrm>
                      <a:off x="0" y="0"/>
                      <a:ext cx="5667375" cy="3876675"/>
                    </a:xfrm>
                    <a:prstGeom prst="rect">
                      <a:avLst/>
                    </a:prstGeom>
                  </pic:spPr>
                </pic:pic>
              </a:graphicData>
            </a:graphic>
          </wp:inline>
        </w:drawing>
      </w:r>
    </w:p>
    <w:p w14:paraId="430E99C2">
      <w:pPr>
        <w:pStyle w:val="33"/>
        <w:rPr>
          <w:lang w:val="en-US"/>
        </w:rPr>
      </w:pPr>
      <w:r>
        <w:rPr>
          <w:lang w:val="en-US"/>
        </w:rPr>
        <w:t>地下采光达标图</w:t>
      </w:r>
    </w:p>
    <w:p w14:paraId="2469C626">
      <w:pPr>
        <w:pStyle w:val="33"/>
        <w:rPr>
          <w:lang w:val="en-US"/>
        </w:rPr>
      </w:pPr>
    </w:p>
    <w:p w14:paraId="1C6B2B5D">
      <w:pPr>
        <w:pStyle w:val="2"/>
        <w:ind w:left="432" w:hanging="432"/>
      </w:pPr>
      <w:bookmarkStart w:id="68" w:name="_Toc31554"/>
      <w:r>
        <w:rPr>
          <w:rFonts w:hint="eastAsia"/>
        </w:rPr>
        <w:t>评价结论</w:t>
      </w:r>
      <w:bookmarkEnd w:id="68"/>
    </w:p>
    <w:p w14:paraId="566B4EEC">
      <w:pPr>
        <w:ind w:firstLine="420" w:firstLineChars="200"/>
      </w:pPr>
      <w:r>
        <w:t>本项目的地下空间天然采光评价，经应用Dali软件依据《建筑采光设计标准》GB 50033-2013进行采光模拟分析，以及根据</w:t>
      </w:r>
      <w:bookmarkStart w:id="69" w:name="标准名称1"/>
      <w:r>
        <w:t>《绿色建筑评价标准》GB/T 50378-2019</w:t>
      </w:r>
      <w:bookmarkEnd w:id="69"/>
      <w:r>
        <w:t>的5.2.8条款进行评价计算，</w:t>
      </w:r>
      <w:r>
        <w:rPr>
          <w:rFonts w:hint="eastAsia"/>
        </w:rPr>
        <w:t>求得</w:t>
      </w:r>
      <w:r>
        <w:t>地下空间平均采光系数不小于</w:t>
      </w:r>
      <w:bookmarkStart w:id="70" w:name="地下采光要求2"/>
      <w:r>
        <w:t>0.5</w:t>
      </w:r>
      <w:bookmarkEnd w:id="70"/>
      <w:r>
        <w:t>%的面积与首层地下室面积的比例</w:t>
      </w:r>
      <w:r>
        <w:rPr>
          <w:rFonts w:hint="eastAsia"/>
        </w:rPr>
        <w:t>，</w:t>
      </w:r>
      <w:r>
        <w:t>本项目地下空间天然采光的评分项得分如下：</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40"/>
        <w:gridCol w:w="3420"/>
        <w:gridCol w:w="1980"/>
        <w:gridCol w:w="1260"/>
      </w:tblGrid>
      <w:tr w14:paraId="57ED5F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2340" w:type="dxa"/>
            <w:shd w:val="clear" w:color="auto" w:fill="E6E6E6"/>
            <w:vAlign w:val="center"/>
          </w:tcPr>
          <w:p w14:paraId="6DBFA027">
            <w:pPr>
              <w:jc w:val="center"/>
            </w:pPr>
            <w:r>
              <w:t>首层地下室面积（</w:t>
            </w:r>
            <w:r>
              <w:rPr>
                <w:rFonts w:hint="eastAsia" w:cs="Batang"/>
              </w:rPr>
              <w:t>㎡</w:t>
            </w:r>
            <w:r>
              <w:rPr>
                <w:rFonts w:hint="eastAsia"/>
              </w:rPr>
              <w:t>）</w:t>
            </w:r>
          </w:p>
        </w:tc>
        <w:tc>
          <w:tcPr>
            <w:tcW w:w="3420" w:type="dxa"/>
            <w:shd w:val="clear" w:color="auto" w:fill="E6E6E6"/>
            <w:vAlign w:val="center"/>
          </w:tcPr>
          <w:p w14:paraId="6B6FF200">
            <w:pPr>
              <w:jc w:val="center"/>
            </w:pPr>
            <w:r>
              <w:t>平均采光系数≥</w:t>
            </w:r>
            <w:bookmarkStart w:id="71" w:name="地下采光要求"/>
            <w:r>
              <w:t>0.50</w:t>
            </w:r>
            <w:bookmarkEnd w:id="71"/>
            <w:r>
              <w:t>%的面积（</w:t>
            </w:r>
            <w:r>
              <w:rPr>
                <w:rFonts w:hint="eastAsia" w:cs="Batang"/>
              </w:rPr>
              <w:t>㎡</w:t>
            </w:r>
            <w:r>
              <w:rPr>
                <w:rFonts w:hint="eastAsia"/>
              </w:rPr>
              <w:t>）</w:t>
            </w:r>
          </w:p>
        </w:tc>
        <w:tc>
          <w:tcPr>
            <w:tcW w:w="1980" w:type="dxa"/>
            <w:shd w:val="clear" w:color="auto" w:fill="E6E6E6"/>
            <w:vAlign w:val="center"/>
          </w:tcPr>
          <w:p w14:paraId="40A3D154">
            <w:pPr>
              <w:jc w:val="center"/>
            </w:pPr>
            <w:r>
              <w:t>面积比例RA（%）</w:t>
            </w:r>
          </w:p>
        </w:tc>
        <w:tc>
          <w:tcPr>
            <w:tcW w:w="1260" w:type="dxa"/>
            <w:shd w:val="clear" w:color="auto" w:fill="E6E6E6"/>
            <w:vAlign w:val="center"/>
          </w:tcPr>
          <w:p w14:paraId="67A24992">
            <w:pPr>
              <w:jc w:val="center"/>
            </w:pPr>
            <w:r>
              <w:t>得分</w:t>
            </w:r>
          </w:p>
        </w:tc>
      </w:tr>
      <w:tr w14:paraId="4D68ED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2340" w:type="dxa"/>
            <w:vAlign w:val="center"/>
          </w:tcPr>
          <w:p w14:paraId="4883D530">
            <w:pPr>
              <w:jc w:val="center"/>
            </w:pPr>
            <w:bookmarkStart w:id="72" w:name="地下采光面积"/>
            <w:r>
              <w:rPr>
                <w:rFonts w:hint="eastAsia"/>
              </w:rPr>
              <w:t>15.18</w:t>
            </w:r>
            <w:bookmarkEnd w:id="72"/>
          </w:p>
        </w:tc>
        <w:tc>
          <w:tcPr>
            <w:tcW w:w="3420" w:type="dxa"/>
            <w:vAlign w:val="center"/>
          </w:tcPr>
          <w:p w14:paraId="049670DA">
            <w:pPr>
              <w:jc w:val="center"/>
            </w:pPr>
            <w:bookmarkStart w:id="73" w:name="地下达标面积"/>
            <w:r>
              <w:rPr>
                <w:rFonts w:hint="eastAsia"/>
              </w:rPr>
              <w:t>0.00</w:t>
            </w:r>
            <w:bookmarkEnd w:id="73"/>
          </w:p>
        </w:tc>
        <w:tc>
          <w:tcPr>
            <w:tcW w:w="1980" w:type="dxa"/>
            <w:vAlign w:val="center"/>
          </w:tcPr>
          <w:p w14:paraId="1A740994">
            <w:pPr>
              <w:jc w:val="center"/>
            </w:pPr>
            <w:bookmarkStart w:id="74" w:name="地下采光达标率"/>
            <w:r>
              <w:rPr>
                <w:rFonts w:hint="eastAsia"/>
              </w:rPr>
              <w:t>0</w:t>
            </w:r>
            <w:bookmarkEnd w:id="74"/>
          </w:p>
        </w:tc>
        <w:tc>
          <w:tcPr>
            <w:tcW w:w="1260" w:type="dxa"/>
            <w:vAlign w:val="center"/>
          </w:tcPr>
          <w:p w14:paraId="70A036F3">
            <w:pPr>
              <w:jc w:val="center"/>
            </w:pPr>
            <w:bookmarkStart w:id="75" w:name="地下采光得分"/>
            <w:r>
              <w:rPr>
                <w:rFonts w:hint="eastAsia"/>
              </w:rPr>
              <w:t>0</w:t>
            </w:r>
            <w:bookmarkEnd w:id="75"/>
          </w:p>
        </w:tc>
      </w:tr>
    </w:tbl>
    <w:p w14:paraId="5068152F">
      <w:pPr>
        <w:pStyle w:val="13"/>
        <w:spacing w:line="360" w:lineRule="auto"/>
        <w:sectPr>
          <w:headerReference r:id="rId6" w:type="default"/>
          <w:pgSz w:w="11906" w:h="16838"/>
          <w:pgMar w:top="1440" w:right="1418" w:bottom="1440" w:left="1418" w:header="851" w:footer="992" w:gutter="0"/>
          <w:cols w:space="425" w:num="1"/>
          <w:docGrid w:type="lines" w:linePitch="312" w:charSpace="0"/>
        </w:sectPr>
      </w:pPr>
    </w:p>
    <w:p w14:paraId="73C527E5">
      <w:pPr>
        <w:pStyle w:val="3"/>
        <w:spacing w:line="360" w:lineRule="auto"/>
        <w:ind w:firstLine="0" w:firstLineChars="0"/>
        <w:outlineLvl w:val="0"/>
        <w:rPr>
          <w:rFonts w:ascii="黑体" w:hAnsi="黑体" w:eastAsia="黑体"/>
          <w:b/>
          <w:sz w:val="24"/>
          <w:szCs w:val="24"/>
          <w:lang w:val="en-US"/>
        </w:rPr>
      </w:pPr>
      <w:bookmarkStart w:id="76" w:name="_Toc21750"/>
      <w:r>
        <w:rPr>
          <w:rFonts w:hint="eastAsia" w:ascii="黑体" w:hAnsi="黑体" w:eastAsia="黑体"/>
          <w:b/>
          <w:sz w:val="24"/>
          <w:szCs w:val="24"/>
          <w:lang w:val="en-US"/>
        </w:rPr>
        <w:t>附件一：项目主要附图</w:t>
      </w:r>
      <w:bookmarkEnd w:id="76"/>
    </w:p>
    <w:p w14:paraId="6D987E7D">
      <w:pPr>
        <w:pStyle w:val="3"/>
        <w:spacing w:line="360" w:lineRule="auto"/>
        <w:ind w:firstLine="0" w:firstLineChars="0"/>
        <w:rPr>
          <w:rFonts w:ascii="黑体" w:hAnsi="黑体" w:eastAsia="黑体"/>
          <w:b/>
          <w:sz w:val="24"/>
          <w:szCs w:val="24"/>
          <w:lang w:val="en-US"/>
        </w:rPr>
      </w:pPr>
      <w:r>
        <w:rPr>
          <w:rFonts w:hint="eastAsia" w:ascii="黑体" w:hAnsi="黑体" w:eastAsia="黑体"/>
          <w:b/>
          <w:sz w:val="24"/>
          <w:szCs w:val="24"/>
          <w:lang w:val="en-US"/>
        </w:rPr>
        <w:t>1. 总平面图：</w:t>
      </w:r>
    </w:p>
    <w:p w14:paraId="0E397CD2">
      <w:pPr>
        <w:pStyle w:val="3"/>
        <w:spacing w:line="240" w:lineRule="auto"/>
        <w:ind w:firstLine="0" w:firstLineChars="0"/>
        <w:jc w:val="center"/>
        <w:rPr>
          <w:rFonts w:ascii="黑体" w:hAnsi="黑体" w:eastAsia="黑体"/>
          <w:b/>
          <w:sz w:val="28"/>
          <w:szCs w:val="28"/>
          <w:lang w:val="en-US"/>
        </w:rPr>
      </w:pPr>
      <w:bookmarkStart w:id="77" w:name="总平面图"/>
      <w:bookmarkEnd w:id="77"/>
    </w:p>
    <w:p w14:paraId="4E763E0F">
      <w:pPr>
        <w:pStyle w:val="3"/>
        <w:spacing w:line="240" w:lineRule="auto"/>
        <w:ind w:firstLine="0" w:firstLineChars="0"/>
        <w:rPr>
          <w:rFonts w:ascii="黑体" w:hAnsi="黑体" w:eastAsia="黑体"/>
          <w:b/>
          <w:sz w:val="28"/>
          <w:szCs w:val="28"/>
          <w:lang w:val="en-US"/>
        </w:rPr>
      </w:pPr>
    </w:p>
    <w:p w14:paraId="2937A103">
      <w:pPr>
        <w:pStyle w:val="3"/>
        <w:spacing w:line="240" w:lineRule="auto"/>
        <w:ind w:firstLine="0" w:firstLineChars="0"/>
        <w:rPr>
          <w:rFonts w:ascii="黑体" w:hAnsi="黑体" w:eastAsia="黑体"/>
          <w:b/>
          <w:sz w:val="24"/>
          <w:szCs w:val="24"/>
          <w:lang w:val="en-US"/>
        </w:rPr>
      </w:pPr>
      <w:r>
        <w:rPr>
          <w:rFonts w:hint="eastAsia" w:ascii="黑体" w:hAnsi="黑体" w:eastAsia="黑体"/>
          <w:b/>
          <w:sz w:val="24"/>
          <w:szCs w:val="24"/>
          <w:lang w:val="en-US"/>
        </w:rPr>
        <w:t>2. 首层地下室平面图：</w:t>
      </w:r>
    </w:p>
    <w:p w14:paraId="5628C894">
      <w:pPr>
        <w:pStyle w:val="3"/>
        <w:spacing w:line="240" w:lineRule="auto"/>
        <w:ind w:left="482" w:firstLine="0" w:firstLineChars="0"/>
        <w:jc w:val="center"/>
        <w:rPr>
          <w:rFonts w:ascii="宋体" w:hAnsi="宋体"/>
          <w:lang w:val="en-US"/>
        </w:rPr>
      </w:pPr>
      <w:bookmarkStart w:id="78" w:name="首层地下室平面图"/>
      <w:bookmarkEnd w:id="78"/>
      <w:r>
        <w:drawing>
          <wp:inline distT="0" distB="0" distL="0" distR="0">
            <wp:extent cx="5667375" cy="4486275"/>
            <wp:effectExtent l="0" t="0" r="0" b="0"/>
            <wp:docPr id="36" name="图片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图片 36"/>
                    <pic:cNvPicPr>
                      <a:picLocks noChangeAspect="1"/>
                    </pic:cNvPicPr>
                  </pic:nvPicPr>
                  <pic:blipFill>
                    <a:blip r:embed="rId12"/>
                    <a:stretch>
                      <a:fillRect/>
                    </a:stretch>
                  </pic:blipFill>
                  <pic:spPr>
                    <a:xfrm>
                      <a:off x="0" y="0"/>
                      <a:ext cx="5667375" cy="4486275"/>
                    </a:xfrm>
                    <a:prstGeom prst="rect">
                      <a:avLst/>
                    </a:prstGeom>
                  </pic:spPr>
                </pic:pic>
              </a:graphicData>
            </a:graphic>
          </wp:inline>
        </w:drawing>
      </w:r>
    </w:p>
    <w:p w14:paraId="26736E57">
      <w:pPr>
        <w:pStyle w:val="3"/>
        <w:spacing w:line="240" w:lineRule="auto"/>
        <w:ind w:left="482" w:firstLine="0" w:firstLineChars="0"/>
        <w:jc w:val="center"/>
        <w:rPr>
          <w:rFonts w:ascii="宋体" w:hAnsi="宋体"/>
          <w:lang w:val="en-US"/>
        </w:rPr>
      </w:pPr>
    </w:p>
    <w:p w14:paraId="75A3C375">
      <w:pPr>
        <w:pStyle w:val="3"/>
        <w:spacing w:line="240" w:lineRule="auto"/>
        <w:ind w:left="482" w:firstLine="0" w:firstLineChars="0"/>
        <w:rPr>
          <w:rFonts w:ascii="宋体" w:hAnsi="宋体"/>
          <w:lang w:val="en-US"/>
        </w:rPr>
      </w:pPr>
    </w:p>
    <w:sectPr>
      <w:pgSz w:w="11906" w:h="16838"/>
      <w:pgMar w:top="1440" w:right="1418" w:bottom="1440"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Batang">
    <w:altName w:val="Malgun Gothic"/>
    <w:panose1 w:val="02030600000101010101"/>
    <w:charset w:val="81"/>
    <w:family w:val="roman"/>
    <w:pitch w:val="default"/>
    <w:sig w:usb0="00000000" w:usb1="00000000" w:usb2="00000030" w:usb3="00000000" w:csb0="0008009F" w:csb1="00000000"/>
  </w:font>
  <w:font w:name="Malgun Gothic">
    <w:panose1 w:val="020B0503020000020004"/>
    <w:charset w:val="81"/>
    <w:family w:val="auto"/>
    <w:pitch w:val="default"/>
    <w:sig w:usb0="9000002F" w:usb1="29D77CFB" w:usb2="00000012" w:usb3="00000000" w:csb0="0008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AC2FBF">
    <w:pPr>
      <w:pStyle w:val="15"/>
      <w:tabs>
        <w:tab w:val="center" w:pos="4535"/>
        <w:tab w:val="right" w:pos="9070"/>
        <w:tab w:val="clear" w:pos="4153"/>
        <w:tab w:val="clear" w:pos="8306"/>
      </w:tabs>
    </w:pPr>
    <w:r>
      <w:fldChar w:fldCharType="begin"/>
    </w:r>
    <w:r>
      <w:instrText xml:space="preserve"> HYPERLINK "http://www.gbsware.cn/" </w:instrText>
    </w:r>
    <w:r>
      <w:fldChar w:fldCharType="separate"/>
    </w:r>
    <w:r>
      <w:rPr>
        <w:rStyle w:val="24"/>
        <w:u w:val="none"/>
      </w:rPr>
      <w:t>http://www.gbsware.cn/</w:t>
    </w:r>
    <w:r>
      <w:rPr>
        <w:rStyle w:val="24"/>
        <w:u w:val="none"/>
      </w:rPr>
      <w:fldChar w:fldCharType="end"/>
    </w:r>
    <w:r>
      <w:tab/>
    </w:r>
    <w:r>
      <w:fldChar w:fldCharType="begin"/>
    </w:r>
    <w:r>
      <w:instrText xml:space="preserve"> PAGE  \* Arabic  \* MERGEFORMAT </w:instrText>
    </w:r>
    <w:r>
      <w:fldChar w:fldCharType="separate"/>
    </w:r>
    <w:r>
      <w:t>8</w:t>
    </w:r>
    <w:r>
      <w:fldChar w:fldCharType="end"/>
    </w:r>
    <w:r>
      <w:rPr>
        <w:b/>
      </w:rPr>
      <w:t>/</w:t>
    </w:r>
    <w:r>
      <w:fldChar w:fldCharType="begin"/>
    </w:r>
    <w:r>
      <w:instrText xml:space="preserve"> NUMPAGES  \* Arabic  \* MERGEFORMAT </w:instrText>
    </w:r>
    <w:r>
      <w:fldChar w:fldCharType="separate"/>
    </w:r>
    <w:r>
      <w:t>8</w:t>
    </w:r>
    <w:r>
      <w:fldChar w:fldCharType="end"/>
    </w:r>
    <w:r>
      <w:tab/>
    </w:r>
    <w:r>
      <w:t>Dali</w:t>
    </w:r>
  </w:p>
  <w:p w14:paraId="26B09B75">
    <w:pPr>
      <w:pStyle w:val="1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68BDBF">
    <w:r>
      <w:rPr>
        <w:rFonts w:hint="eastAsia"/>
      </w:rPr>
      <w:t xml:space="preserve">            </w:t>
    </w:r>
    <w: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9115CB"/>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07F9E1">
    <w:pPr>
      <w:pStyle w:val="16"/>
      <w:pBdr>
        <w:bottom w:val="single" w:color="auto" w:sz="6" w:space="2"/>
      </w:pBdr>
    </w:pPr>
    <w:r>
      <w:rPr>
        <w:lang w:val="en-US"/>
      </w:rPr>
      <w:drawing>
        <wp:inline distT="0" distB="0" distL="114300" distR="114300">
          <wp:extent cx="969010" cy="259080"/>
          <wp:effectExtent l="0" t="0" r="635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1"/>
                  <a:stretch>
                    <a:fillRect/>
                  </a:stretch>
                </pic:blipFill>
                <pic:spPr>
                  <a:xfrm>
                    <a:off x="0" y="0"/>
                    <a:ext cx="969010" cy="259080"/>
                  </a:xfrm>
                  <a:prstGeom prst="rect">
                    <a:avLst/>
                  </a:prstGeom>
                  <a:noFill/>
                  <a:ln>
                    <a:noFill/>
                  </a:ln>
                </pic:spPr>
              </pic:pic>
            </a:graphicData>
          </a:graphic>
        </wp:inline>
      </w:drawing>
    </w:r>
    <w:r>
      <w:rPr>
        <w:rFonts w:hint="eastAsia"/>
      </w:rPr>
      <w:t xml:space="preserve">            </w:t>
    </w:r>
    <w:r>
      <w:t xml:space="preserve">                             </w:t>
    </w:r>
    <w:r>
      <w:rPr>
        <w:rFonts w:hint="eastAsia"/>
      </w:rPr>
      <w:t xml:space="preserve">       地下空间采光系数计算书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20"/>
        </w:tabs>
        <w:ind w:left="420" w:hanging="420"/>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ascii="微软雅黑" w:hAnsi="微软雅黑" w:eastAsia="微软雅黑"/>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1">
    <w:nsid w:val="201C043B"/>
    <w:multiLevelType w:val="multilevel"/>
    <w:tmpl w:val="201C043B"/>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mirrorMargins w:val="1"/>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k1MTMzNzAzODBhNDQ1N2I5NTM5ODViNjU3YTEyZGEifQ=="/>
  </w:docVars>
  <w:rsids>
    <w:rsidRoot w:val="23034596"/>
    <w:rsid w:val="00021948"/>
    <w:rsid w:val="00022F54"/>
    <w:rsid w:val="00022FE4"/>
    <w:rsid w:val="0003015C"/>
    <w:rsid w:val="0003718D"/>
    <w:rsid w:val="00037A4C"/>
    <w:rsid w:val="000431C3"/>
    <w:rsid w:val="00045796"/>
    <w:rsid w:val="00047BEF"/>
    <w:rsid w:val="00047D27"/>
    <w:rsid w:val="00060BD8"/>
    <w:rsid w:val="000631B3"/>
    <w:rsid w:val="0006507C"/>
    <w:rsid w:val="00066E6B"/>
    <w:rsid w:val="00070454"/>
    <w:rsid w:val="000725A9"/>
    <w:rsid w:val="000739BB"/>
    <w:rsid w:val="00073D32"/>
    <w:rsid w:val="00073E94"/>
    <w:rsid w:val="00075C7F"/>
    <w:rsid w:val="0007642D"/>
    <w:rsid w:val="000805DC"/>
    <w:rsid w:val="00083664"/>
    <w:rsid w:val="00083FC5"/>
    <w:rsid w:val="000926EC"/>
    <w:rsid w:val="00094B16"/>
    <w:rsid w:val="00095A03"/>
    <w:rsid w:val="0009672C"/>
    <w:rsid w:val="0009772D"/>
    <w:rsid w:val="000A216C"/>
    <w:rsid w:val="000A6EC1"/>
    <w:rsid w:val="000A7482"/>
    <w:rsid w:val="000B2B33"/>
    <w:rsid w:val="000B4CE4"/>
    <w:rsid w:val="000B51D1"/>
    <w:rsid w:val="000B7505"/>
    <w:rsid w:val="000B762E"/>
    <w:rsid w:val="000C2578"/>
    <w:rsid w:val="000C3A64"/>
    <w:rsid w:val="000C731C"/>
    <w:rsid w:val="000C7352"/>
    <w:rsid w:val="000C735A"/>
    <w:rsid w:val="000D17C2"/>
    <w:rsid w:val="000D1936"/>
    <w:rsid w:val="000E3005"/>
    <w:rsid w:val="000F1573"/>
    <w:rsid w:val="000F48FD"/>
    <w:rsid w:val="000F566A"/>
    <w:rsid w:val="000F7EF2"/>
    <w:rsid w:val="000F7FEF"/>
    <w:rsid w:val="00101764"/>
    <w:rsid w:val="0010266A"/>
    <w:rsid w:val="001037D7"/>
    <w:rsid w:val="00105DF2"/>
    <w:rsid w:val="001104AC"/>
    <w:rsid w:val="00110A51"/>
    <w:rsid w:val="00111340"/>
    <w:rsid w:val="00112680"/>
    <w:rsid w:val="001146C5"/>
    <w:rsid w:val="00117919"/>
    <w:rsid w:val="00122AE1"/>
    <w:rsid w:val="00136510"/>
    <w:rsid w:val="00137685"/>
    <w:rsid w:val="00141170"/>
    <w:rsid w:val="00145FA8"/>
    <w:rsid w:val="001463F5"/>
    <w:rsid w:val="0014776A"/>
    <w:rsid w:val="00150077"/>
    <w:rsid w:val="001511F2"/>
    <w:rsid w:val="00152AD1"/>
    <w:rsid w:val="001549CD"/>
    <w:rsid w:val="00154E6B"/>
    <w:rsid w:val="00170E95"/>
    <w:rsid w:val="0017134B"/>
    <w:rsid w:val="00180509"/>
    <w:rsid w:val="00180537"/>
    <w:rsid w:val="001811B7"/>
    <w:rsid w:val="00191705"/>
    <w:rsid w:val="00195963"/>
    <w:rsid w:val="001A213A"/>
    <w:rsid w:val="001A3A15"/>
    <w:rsid w:val="001A47EB"/>
    <w:rsid w:val="001B1B96"/>
    <w:rsid w:val="001B6E89"/>
    <w:rsid w:val="001D49B5"/>
    <w:rsid w:val="001D7C6B"/>
    <w:rsid w:val="001E049F"/>
    <w:rsid w:val="001E157B"/>
    <w:rsid w:val="001E32B4"/>
    <w:rsid w:val="00201BD9"/>
    <w:rsid w:val="002038AE"/>
    <w:rsid w:val="00203A7D"/>
    <w:rsid w:val="00204D80"/>
    <w:rsid w:val="00214E31"/>
    <w:rsid w:val="0022062D"/>
    <w:rsid w:val="002229C1"/>
    <w:rsid w:val="002231A3"/>
    <w:rsid w:val="00224948"/>
    <w:rsid w:val="00241D4E"/>
    <w:rsid w:val="00242864"/>
    <w:rsid w:val="002442BB"/>
    <w:rsid w:val="00244792"/>
    <w:rsid w:val="0025362B"/>
    <w:rsid w:val="002555B8"/>
    <w:rsid w:val="00262B68"/>
    <w:rsid w:val="00265ACC"/>
    <w:rsid w:val="0027073D"/>
    <w:rsid w:val="00283BF0"/>
    <w:rsid w:val="002860D1"/>
    <w:rsid w:val="002933AC"/>
    <w:rsid w:val="00294F67"/>
    <w:rsid w:val="00294F7E"/>
    <w:rsid w:val="002A2F2E"/>
    <w:rsid w:val="002A3037"/>
    <w:rsid w:val="002A7369"/>
    <w:rsid w:val="002A79FB"/>
    <w:rsid w:val="002B2590"/>
    <w:rsid w:val="002B3EAD"/>
    <w:rsid w:val="002B7899"/>
    <w:rsid w:val="002C17A2"/>
    <w:rsid w:val="002C62E3"/>
    <w:rsid w:val="002D2BBC"/>
    <w:rsid w:val="002E5393"/>
    <w:rsid w:val="002E574B"/>
    <w:rsid w:val="002E7C19"/>
    <w:rsid w:val="0030437C"/>
    <w:rsid w:val="003113F4"/>
    <w:rsid w:val="003121F7"/>
    <w:rsid w:val="003123FB"/>
    <w:rsid w:val="00312B73"/>
    <w:rsid w:val="00314D29"/>
    <w:rsid w:val="00317C52"/>
    <w:rsid w:val="0032366D"/>
    <w:rsid w:val="00330BA7"/>
    <w:rsid w:val="0033176E"/>
    <w:rsid w:val="00332086"/>
    <w:rsid w:val="0035421F"/>
    <w:rsid w:val="00355840"/>
    <w:rsid w:val="00356224"/>
    <w:rsid w:val="0036330B"/>
    <w:rsid w:val="003642AC"/>
    <w:rsid w:val="003651E3"/>
    <w:rsid w:val="00370E69"/>
    <w:rsid w:val="00380AAF"/>
    <w:rsid w:val="00390063"/>
    <w:rsid w:val="0039025A"/>
    <w:rsid w:val="00390296"/>
    <w:rsid w:val="00391613"/>
    <w:rsid w:val="00393106"/>
    <w:rsid w:val="003944CC"/>
    <w:rsid w:val="003964EA"/>
    <w:rsid w:val="003A0FDD"/>
    <w:rsid w:val="003A2B52"/>
    <w:rsid w:val="003A2CE1"/>
    <w:rsid w:val="003A3E76"/>
    <w:rsid w:val="003A5353"/>
    <w:rsid w:val="003B1331"/>
    <w:rsid w:val="003C056D"/>
    <w:rsid w:val="003C5FD5"/>
    <w:rsid w:val="003C61FC"/>
    <w:rsid w:val="003D0076"/>
    <w:rsid w:val="003D11B4"/>
    <w:rsid w:val="003D1FC7"/>
    <w:rsid w:val="003D5C64"/>
    <w:rsid w:val="003F27D2"/>
    <w:rsid w:val="003F60B9"/>
    <w:rsid w:val="003F66A9"/>
    <w:rsid w:val="00400053"/>
    <w:rsid w:val="004004CF"/>
    <w:rsid w:val="00402192"/>
    <w:rsid w:val="0040698B"/>
    <w:rsid w:val="00406B01"/>
    <w:rsid w:val="00411F15"/>
    <w:rsid w:val="00413082"/>
    <w:rsid w:val="004140D8"/>
    <w:rsid w:val="0041750D"/>
    <w:rsid w:val="00420487"/>
    <w:rsid w:val="00420DBF"/>
    <w:rsid w:val="00423856"/>
    <w:rsid w:val="0042654D"/>
    <w:rsid w:val="00426C2B"/>
    <w:rsid w:val="00430DCC"/>
    <w:rsid w:val="004315D3"/>
    <w:rsid w:val="00431AD1"/>
    <w:rsid w:val="00432639"/>
    <w:rsid w:val="00433D62"/>
    <w:rsid w:val="004368DD"/>
    <w:rsid w:val="00441CA3"/>
    <w:rsid w:val="00443779"/>
    <w:rsid w:val="00443A24"/>
    <w:rsid w:val="00444C49"/>
    <w:rsid w:val="004502A3"/>
    <w:rsid w:val="00455D17"/>
    <w:rsid w:val="004732C6"/>
    <w:rsid w:val="00475107"/>
    <w:rsid w:val="0047512A"/>
    <w:rsid w:val="004839C8"/>
    <w:rsid w:val="00486B69"/>
    <w:rsid w:val="00486F6E"/>
    <w:rsid w:val="0049058C"/>
    <w:rsid w:val="004907E8"/>
    <w:rsid w:val="004913BB"/>
    <w:rsid w:val="00495EFA"/>
    <w:rsid w:val="004A008B"/>
    <w:rsid w:val="004A5301"/>
    <w:rsid w:val="004D230F"/>
    <w:rsid w:val="004D239D"/>
    <w:rsid w:val="004D449D"/>
    <w:rsid w:val="004D4831"/>
    <w:rsid w:val="004E0890"/>
    <w:rsid w:val="004E320A"/>
    <w:rsid w:val="004E5DEA"/>
    <w:rsid w:val="004F181A"/>
    <w:rsid w:val="004F2B43"/>
    <w:rsid w:val="00504F54"/>
    <w:rsid w:val="005051EB"/>
    <w:rsid w:val="00507065"/>
    <w:rsid w:val="0051542F"/>
    <w:rsid w:val="0051646C"/>
    <w:rsid w:val="005215FB"/>
    <w:rsid w:val="00521623"/>
    <w:rsid w:val="00525FEB"/>
    <w:rsid w:val="00527014"/>
    <w:rsid w:val="005312C9"/>
    <w:rsid w:val="00531BC0"/>
    <w:rsid w:val="00535BC5"/>
    <w:rsid w:val="00540858"/>
    <w:rsid w:val="00540B17"/>
    <w:rsid w:val="0054304B"/>
    <w:rsid w:val="005430C1"/>
    <w:rsid w:val="005438CC"/>
    <w:rsid w:val="005449BD"/>
    <w:rsid w:val="00547052"/>
    <w:rsid w:val="00553946"/>
    <w:rsid w:val="00555634"/>
    <w:rsid w:val="00555EF2"/>
    <w:rsid w:val="00560CD5"/>
    <w:rsid w:val="00562B4A"/>
    <w:rsid w:val="00563BEE"/>
    <w:rsid w:val="00567DFC"/>
    <w:rsid w:val="00570A92"/>
    <w:rsid w:val="00575269"/>
    <w:rsid w:val="005755BA"/>
    <w:rsid w:val="00580CDE"/>
    <w:rsid w:val="00584084"/>
    <w:rsid w:val="00591D7B"/>
    <w:rsid w:val="005927FC"/>
    <w:rsid w:val="00594914"/>
    <w:rsid w:val="00595E32"/>
    <w:rsid w:val="005A0064"/>
    <w:rsid w:val="005A2F4D"/>
    <w:rsid w:val="005B0295"/>
    <w:rsid w:val="005B290E"/>
    <w:rsid w:val="005B370C"/>
    <w:rsid w:val="005C1293"/>
    <w:rsid w:val="005C5E53"/>
    <w:rsid w:val="005D14F5"/>
    <w:rsid w:val="005D6617"/>
    <w:rsid w:val="005E5442"/>
    <w:rsid w:val="005E5D67"/>
    <w:rsid w:val="005E6632"/>
    <w:rsid w:val="005E6722"/>
    <w:rsid w:val="005E6DB2"/>
    <w:rsid w:val="005F5BA5"/>
    <w:rsid w:val="005F76EF"/>
    <w:rsid w:val="00601AE7"/>
    <w:rsid w:val="0060385C"/>
    <w:rsid w:val="00603BD9"/>
    <w:rsid w:val="0061137B"/>
    <w:rsid w:val="00611A83"/>
    <w:rsid w:val="006142C8"/>
    <w:rsid w:val="00616D08"/>
    <w:rsid w:val="00617087"/>
    <w:rsid w:val="006170E1"/>
    <w:rsid w:val="0062034E"/>
    <w:rsid w:val="0062232E"/>
    <w:rsid w:val="006240DC"/>
    <w:rsid w:val="00644003"/>
    <w:rsid w:val="00652934"/>
    <w:rsid w:val="006544F4"/>
    <w:rsid w:val="00661993"/>
    <w:rsid w:val="006677F4"/>
    <w:rsid w:val="00670B60"/>
    <w:rsid w:val="0067635E"/>
    <w:rsid w:val="00677D86"/>
    <w:rsid w:val="00681C5E"/>
    <w:rsid w:val="00683C72"/>
    <w:rsid w:val="00691729"/>
    <w:rsid w:val="00694FCA"/>
    <w:rsid w:val="00696156"/>
    <w:rsid w:val="00696F5C"/>
    <w:rsid w:val="006B0461"/>
    <w:rsid w:val="006B628D"/>
    <w:rsid w:val="006B694A"/>
    <w:rsid w:val="006C2054"/>
    <w:rsid w:val="006C31C0"/>
    <w:rsid w:val="006C5D4B"/>
    <w:rsid w:val="006D5016"/>
    <w:rsid w:val="006E2DB9"/>
    <w:rsid w:val="006E4125"/>
    <w:rsid w:val="006F1E82"/>
    <w:rsid w:val="006F480A"/>
    <w:rsid w:val="006F6958"/>
    <w:rsid w:val="0070016E"/>
    <w:rsid w:val="00700961"/>
    <w:rsid w:val="00704059"/>
    <w:rsid w:val="007100B1"/>
    <w:rsid w:val="00710AAA"/>
    <w:rsid w:val="00716859"/>
    <w:rsid w:val="00720044"/>
    <w:rsid w:val="00720CD9"/>
    <w:rsid w:val="00722CF6"/>
    <w:rsid w:val="007250A6"/>
    <w:rsid w:val="0074389B"/>
    <w:rsid w:val="00743F7C"/>
    <w:rsid w:val="00745DDA"/>
    <w:rsid w:val="0074754F"/>
    <w:rsid w:val="00760461"/>
    <w:rsid w:val="0076205C"/>
    <w:rsid w:val="00775E61"/>
    <w:rsid w:val="0078389D"/>
    <w:rsid w:val="00784B44"/>
    <w:rsid w:val="007859D0"/>
    <w:rsid w:val="007A2481"/>
    <w:rsid w:val="007A2817"/>
    <w:rsid w:val="007A6E0D"/>
    <w:rsid w:val="007A7D3B"/>
    <w:rsid w:val="007A7DF0"/>
    <w:rsid w:val="007B7859"/>
    <w:rsid w:val="007C1430"/>
    <w:rsid w:val="007C324F"/>
    <w:rsid w:val="007C5408"/>
    <w:rsid w:val="007D2688"/>
    <w:rsid w:val="007E0DA0"/>
    <w:rsid w:val="007E39A8"/>
    <w:rsid w:val="007E3D1F"/>
    <w:rsid w:val="007E46A7"/>
    <w:rsid w:val="007F09EA"/>
    <w:rsid w:val="00800F96"/>
    <w:rsid w:val="00801632"/>
    <w:rsid w:val="00805799"/>
    <w:rsid w:val="008060C3"/>
    <w:rsid w:val="00806523"/>
    <w:rsid w:val="00810B33"/>
    <w:rsid w:val="00815480"/>
    <w:rsid w:val="00816832"/>
    <w:rsid w:val="0083639A"/>
    <w:rsid w:val="00837670"/>
    <w:rsid w:val="008402F7"/>
    <w:rsid w:val="00840D90"/>
    <w:rsid w:val="008439F8"/>
    <w:rsid w:val="0084738C"/>
    <w:rsid w:val="00850136"/>
    <w:rsid w:val="0085014F"/>
    <w:rsid w:val="008704AB"/>
    <w:rsid w:val="00871FC0"/>
    <w:rsid w:val="0087441B"/>
    <w:rsid w:val="00883D6C"/>
    <w:rsid w:val="00892594"/>
    <w:rsid w:val="008A1241"/>
    <w:rsid w:val="008A4D7F"/>
    <w:rsid w:val="008A54A0"/>
    <w:rsid w:val="008A6504"/>
    <w:rsid w:val="008B0CA0"/>
    <w:rsid w:val="008B4178"/>
    <w:rsid w:val="008C1297"/>
    <w:rsid w:val="008C66D5"/>
    <w:rsid w:val="008D01FA"/>
    <w:rsid w:val="008D31F9"/>
    <w:rsid w:val="008D35DA"/>
    <w:rsid w:val="008D4BEC"/>
    <w:rsid w:val="008D7168"/>
    <w:rsid w:val="008F0010"/>
    <w:rsid w:val="008F0FFF"/>
    <w:rsid w:val="008F5BF5"/>
    <w:rsid w:val="008F7B41"/>
    <w:rsid w:val="009000A6"/>
    <w:rsid w:val="0090340B"/>
    <w:rsid w:val="00905F94"/>
    <w:rsid w:val="00925FCF"/>
    <w:rsid w:val="009275EC"/>
    <w:rsid w:val="009363FF"/>
    <w:rsid w:val="009429C0"/>
    <w:rsid w:val="0095123C"/>
    <w:rsid w:val="00953A34"/>
    <w:rsid w:val="0096074B"/>
    <w:rsid w:val="00965A34"/>
    <w:rsid w:val="00971AEC"/>
    <w:rsid w:val="00973452"/>
    <w:rsid w:val="00975F79"/>
    <w:rsid w:val="0098285F"/>
    <w:rsid w:val="00990F63"/>
    <w:rsid w:val="00991801"/>
    <w:rsid w:val="00992A94"/>
    <w:rsid w:val="00993CF2"/>
    <w:rsid w:val="009A03DD"/>
    <w:rsid w:val="009A15B5"/>
    <w:rsid w:val="009A6B0F"/>
    <w:rsid w:val="009B071C"/>
    <w:rsid w:val="009B0C40"/>
    <w:rsid w:val="009B3769"/>
    <w:rsid w:val="009C4AE6"/>
    <w:rsid w:val="009D244A"/>
    <w:rsid w:val="009D4733"/>
    <w:rsid w:val="009D5AAC"/>
    <w:rsid w:val="009D67D1"/>
    <w:rsid w:val="009E1E8F"/>
    <w:rsid w:val="009E6B81"/>
    <w:rsid w:val="009F5016"/>
    <w:rsid w:val="009F5A35"/>
    <w:rsid w:val="009F7C95"/>
    <w:rsid w:val="00A0525F"/>
    <w:rsid w:val="00A05981"/>
    <w:rsid w:val="00A12783"/>
    <w:rsid w:val="00A177A6"/>
    <w:rsid w:val="00A223B5"/>
    <w:rsid w:val="00A32590"/>
    <w:rsid w:val="00A355BD"/>
    <w:rsid w:val="00A357F7"/>
    <w:rsid w:val="00A40B33"/>
    <w:rsid w:val="00A47443"/>
    <w:rsid w:val="00A47585"/>
    <w:rsid w:val="00A57E38"/>
    <w:rsid w:val="00A60B63"/>
    <w:rsid w:val="00A61068"/>
    <w:rsid w:val="00A71321"/>
    <w:rsid w:val="00A73DF3"/>
    <w:rsid w:val="00A86476"/>
    <w:rsid w:val="00A90BB1"/>
    <w:rsid w:val="00A920E8"/>
    <w:rsid w:val="00A92636"/>
    <w:rsid w:val="00A95E06"/>
    <w:rsid w:val="00A96E41"/>
    <w:rsid w:val="00A972F1"/>
    <w:rsid w:val="00AA47FE"/>
    <w:rsid w:val="00AA7D07"/>
    <w:rsid w:val="00AB1AE2"/>
    <w:rsid w:val="00AB5182"/>
    <w:rsid w:val="00AB5572"/>
    <w:rsid w:val="00AD0888"/>
    <w:rsid w:val="00AD67E2"/>
    <w:rsid w:val="00AE206F"/>
    <w:rsid w:val="00AE7323"/>
    <w:rsid w:val="00AF050E"/>
    <w:rsid w:val="00AF0542"/>
    <w:rsid w:val="00AF06AD"/>
    <w:rsid w:val="00B00FFB"/>
    <w:rsid w:val="00B11FD8"/>
    <w:rsid w:val="00B157BB"/>
    <w:rsid w:val="00B30DBB"/>
    <w:rsid w:val="00B3131F"/>
    <w:rsid w:val="00B364B6"/>
    <w:rsid w:val="00B4007C"/>
    <w:rsid w:val="00B41640"/>
    <w:rsid w:val="00B52E3D"/>
    <w:rsid w:val="00B55B22"/>
    <w:rsid w:val="00B60841"/>
    <w:rsid w:val="00B6524E"/>
    <w:rsid w:val="00B70998"/>
    <w:rsid w:val="00B774E4"/>
    <w:rsid w:val="00B86B1C"/>
    <w:rsid w:val="00B950DF"/>
    <w:rsid w:val="00BA12F2"/>
    <w:rsid w:val="00BA4C10"/>
    <w:rsid w:val="00BB3B23"/>
    <w:rsid w:val="00BB64F7"/>
    <w:rsid w:val="00BD47A9"/>
    <w:rsid w:val="00BD7DD2"/>
    <w:rsid w:val="00BE118E"/>
    <w:rsid w:val="00BE18AD"/>
    <w:rsid w:val="00BE4583"/>
    <w:rsid w:val="00BF3074"/>
    <w:rsid w:val="00BF5975"/>
    <w:rsid w:val="00C02ABE"/>
    <w:rsid w:val="00C127CA"/>
    <w:rsid w:val="00C20009"/>
    <w:rsid w:val="00C21DCE"/>
    <w:rsid w:val="00C257AB"/>
    <w:rsid w:val="00C3168B"/>
    <w:rsid w:val="00C31D17"/>
    <w:rsid w:val="00C33D67"/>
    <w:rsid w:val="00C37F41"/>
    <w:rsid w:val="00C43A4A"/>
    <w:rsid w:val="00C44237"/>
    <w:rsid w:val="00C44808"/>
    <w:rsid w:val="00C45C1D"/>
    <w:rsid w:val="00C47B3E"/>
    <w:rsid w:val="00C47BAF"/>
    <w:rsid w:val="00C50F78"/>
    <w:rsid w:val="00C52CCB"/>
    <w:rsid w:val="00C56EF0"/>
    <w:rsid w:val="00C60668"/>
    <w:rsid w:val="00C60B76"/>
    <w:rsid w:val="00C63237"/>
    <w:rsid w:val="00C67778"/>
    <w:rsid w:val="00C677CE"/>
    <w:rsid w:val="00C72CFF"/>
    <w:rsid w:val="00C7671E"/>
    <w:rsid w:val="00C8032E"/>
    <w:rsid w:val="00C832CC"/>
    <w:rsid w:val="00C851CF"/>
    <w:rsid w:val="00C85350"/>
    <w:rsid w:val="00C855E5"/>
    <w:rsid w:val="00C85D00"/>
    <w:rsid w:val="00C95C03"/>
    <w:rsid w:val="00C9765F"/>
    <w:rsid w:val="00C97E25"/>
    <w:rsid w:val="00CA7AE3"/>
    <w:rsid w:val="00CB6248"/>
    <w:rsid w:val="00CC196B"/>
    <w:rsid w:val="00CC6133"/>
    <w:rsid w:val="00CC74BC"/>
    <w:rsid w:val="00CD01C9"/>
    <w:rsid w:val="00CD4869"/>
    <w:rsid w:val="00CE00E6"/>
    <w:rsid w:val="00CE125A"/>
    <w:rsid w:val="00CE28AA"/>
    <w:rsid w:val="00CF1874"/>
    <w:rsid w:val="00CF6917"/>
    <w:rsid w:val="00D02D59"/>
    <w:rsid w:val="00D02FD6"/>
    <w:rsid w:val="00D05B0B"/>
    <w:rsid w:val="00D062D7"/>
    <w:rsid w:val="00D06954"/>
    <w:rsid w:val="00D11DAD"/>
    <w:rsid w:val="00D13684"/>
    <w:rsid w:val="00D264C0"/>
    <w:rsid w:val="00D31E80"/>
    <w:rsid w:val="00D36619"/>
    <w:rsid w:val="00D40158"/>
    <w:rsid w:val="00D42291"/>
    <w:rsid w:val="00D43C46"/>
    <w:rsid w:val="00D60976"/>
    <w:rsid w:val="00D62634"/>
    <w:rsid w:val="00D62A9A"/>
    <w:rsid w:val="00D65949"/>
    <w:rsid w:val="00D73139"/>
    <w:rsid w:val="00D74281"/>
    <w:rsid w:val="00D80C28"/>
    <w:rsid w:val="00D85296"/>
    <w:rsid w:val="00D85A78"/>
    <w:rsid w:val="00D9701F"/>
    <w:rsid w:val="00DA543D"/>
    <w:rsid w:val="00DB1F7E"/>
    <w:rsid w:val="00DB29C3"/>
    <w:rsid w:val="00DC08B7"/>
    <w:rsid w:val="00DC5B48"/>
    <w:rsid w:val="00DC73AD"/>
    <w:rsid w:val="00DD0E2A"/>
    <w:rsid w:val="00DD33B1"/>
    <w:rsid w:val="00DD3C92"/>
    <w:rsid w:val="00DD56FC"/>
    <w:rsid w:val="00DE15EB"/>
    <w:rsid w:val="00DE39CD"/>
    <w:rsid w:val="00DE7EA5"/>
    <w:rsid w:val="00DF470C"/>
    <w:rsid w:val="00DF7D67"/>
    <w:rsid w:val="00E04BB6"/>
    <w:rsid w:val="00E12326"/>
    <w:rsid w:val="00E125AE"/>
    <w:rsid w:val="00E12AD1"/>
    <w:rsid w:val="00E15AB7"/>
    <w:rsid w:val="00E17240"/>
    <w:rsid w:val="00E17F17"/>
    <w:rsid w:val="00E200C4"/>
    <w:rsid w:val="00E22381"/>
    <w:rsid w:val="00E23D22"/>
    <w:rsid w:val="00E24572"/>
    <w:rsid w:val="00E278C1"/>
    <w:rsid w:val="00E341D6"/>
    <w:rsid w:val="00E34789"/>
    <w:rsid w:val="00E3796F"/>
    <w:rsid w:val="00E50FE4"/>
    <w:rsid w:val="00E55FF6"/>
    <w:rsid w:val="00E612BA"/>
    <w:rsid w:val="00E67432"/>
    <w:rsid w:val="00E71D63"/>
    <w:rsid w:val="00E75360"/>
    <w:rsid w:val="00E81ACD"/>
    <w:rsid w:val="00E82CB7"/>
    <w:rsid w:val="00E93153"/>
    <w:rsid w:val="00E950A3"/>
    <w:rsid w:val="00EA30AE"/>
    <w:rsid w:val="00EB160E"/>
    <w:rsid w:val="00EB2565"/>
    <w:rsid w:val="00EB27DC"/>
    <w:rsid w:val="00EB450B"/>
    <w:rsid w:val="00EB65C7"/>
    <w:rsid w:val="00EB7A59"/>
    <w:rsid w:val="00EC3F24"/>
    <w:rsid w:val="00ED5D36"/>
    <w:rsid w:val="00ED5F4E"/>
    <w:rsid w:val="00EE0F57"/>
    <w:rsid w:val="00EE4C8B"/>
    <w:rsid w:val="00EF1307"/>
    <w:rsid w:val="00EF469A"/>
    <w:rsid w:val="00EF5D54"/>
    <w:rsid w:val="00F0062B"/>
    <w:rsid w:val="00F043EC"/>
    <w:rsid w:val="00F0686F"/>
    <w:rsid w:val="00F11B75"/>
    <w:rsid w:val="00F14F02"/>
    <w:rsid w:val="00F15E1F"/>
    <w:rsid w:val="00F20C9F"/>
    <w:rsid w:val="00F213F2"/>
    <w:rsid w:val="00F23FE1"/>
    <w:rsid w:val="00F26211"/>
    <w:rsid w:val="00F27AD2"/>
    <w:rsid w:val="00F32066"/>
    <w:rsid w:val="00F4109F"/>
    <w:rsid w:val="00F41E78"/>
    <w:rsid w:val="00F42DDB"/>
    <w:rsid w:val="00F435B8"/>
    <w:rsid w:val="00F46C80"/>
    <w:rsid w:val="00F51600"/>
    <w:rsid w:val="00F54AF7"/>
    <w:rsid w:val="00F642F8"/>
    <w:rsid w:val="00F6461B"/>
    <w:rsid w:val="00F6582C"/>
    <w:rsid w:val="00F66DC8"/>
    <w:rsid w:val="00F731D0"/>
    <w:rsid w:val="00F75DD1"/>
    <w:rsid w:val="00F82D7F"/>
    <w:rsid w:val="00F9138A"/>
    <w:rsid w:val="00F92266"/>
    <w:rsid w:val="00F959AF"/>
    <w:rsid w:val="00F95D92"/>
    <w:rsid w:val="00F972A6"/>
    <w:rsid w:val="00FA4B87"/>
    <w:rsid w:val="00FA5E92"/>
    <w:rsid w:val="00FB0817"/>
    <w:rsid w:val="00FB084F"/>
    <w:rsid w:val="00FB1375"/>
    <w:rsid w:val="00FB217A"/>
    <w:rsid w:val="00FB688E"/>
    <w:rsid w:val="00FC3426"/>
    <w:rsid w:val="00FC5270"/>
    <w:rsid w:val="00FC7BC5"/>
    <w:rsid w:val="00FD0EF2"/>
    <w:rsid w:val="00FD44EE"/>
    <w:rsid w:val="00FE749C"/>
    <w:rsid w:val="00FF0E4C"/>
    <w:rsid w:val="00FF14DB"/>
    <w:rsid w:val="00FF2243"/>
    <w:rsid w:val="23034596"/>
    <w:rsid w:val="33561B38"/>
    <w:rsid w:val="49F67A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39" w:semiHidden="0" w:name="toc 1"/>
    <w:lsdException w:qFormat="1" w:unhideWhenUsed="0" w:uiPriority="39" w:semiHidden="0" w:name="toc 2"/>
    <w:lsdException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napToGrid w:val="0"/>
    </w:pPr>
    <w:rPr>
      <w:rFonts w:ascii="微软雅黑" w:hAnsi="微软雅黑" w:eastAsia="微软雅黑" w:cs="微软雅黑"/>
      <w:sz w:val="21"/>
      <w:szCs w:val="21"/>
      <w:lang w:val="en-GB" w:eastAsia="zh-CN" w:bidi="ar-SA"/>
    </w:rPr>
  </w:style>
  <w:style w:type="paragraph" w:styleId="2">
    <w:name w:val="heading 1"/>
    <w:next w:val="3"/>
    <w:autoRedefine/>
    <w:qFormat/>
    <w:uiPriority w:val="0"/>
    <w:pPr>
      <w:keepNext/>
      <w:numPr>
        <w:ilvl w:val="0"/>
        <w:numId w:val="1"/>
      </w:numPr>
      <w:kinsoku w:val="0"/>
      <w:spacing w:before="240" w:after="60"/>
      <w:outlineLvl w:val="0"/>
    </w:pPr>
    <w:rPr>
      <w:rFonts w:ascii="微软雅黑" w:hAnsi="微软雅黑" w:eastAsia="微软雅黑" w:cs="Times New Roman"/>
      <w:b/>
      <w:bCs/>
      <w:kern w:val="32"/>
      <w:sz w:val="28"/>
      <w:szCs w:val="28"/>
      <w:lang w:val="en-US" w:eastAsia="zh-CN" w:bidi="ar-SA"/>
    </w:rPr>
  </w:style>
  <w:style w:type="paragraph" w:styleId="4">
    <w:name w:val="heading 2"/>
    <w:next w:val="3"/>
    <w:autoRedefine/>
    <w:qFormat/>
    <w:uiPriority w:val="0"/>
    <w:pPr>
      <w:keepNext/>
      <w:numPr>
        <w:ilvl w:val="1"/>
        <w:numId w:val="1"/>
      </w:numPr>
      <w:kinsoku w:val="0"/>
      <w:spacing w:before="240" w:after="240"/>
      <w:jc w:val="both"/>
      <w:outlineLvl w:val="1"/>
    </w:pPr>
    <w:rPr>
      <w:rFonts w:ascii="微软雅黑" w:hAnsi="微软雅黑" w:eastAsia="微软雅黑" w:cs="Arial"/>
      <w:b/>
      <w:bCs/>
      <w:iCs/>
      <w:color w:val="000000"/>
      <w:sz w:val="24"/>
      <w:szCs w:val="24"/>
      <w:lang w:val="en-US" w:eastAsia="zh-CN" w:bidi="ar-SA"/>
    </w:rPr>
  </w:style>
  <w:style w:type="paragraph" w:styleId="5">
    <w:name w:val="heading 3"/>
    <w:next w:val="3"/>
    <w:autoRedefine/>
    <w:qFormat/>
    <w:uiPriority w:val="0"/>
    <w:pPr>
      <w:keepNext/>
      <w:numPr>
        <w:ilvl w:val="2"/>
        <w:numId w:val="1"/>
      </w:numPr>
      <w:spacing w:before="240" w:after="60"/>
      <w:outlineLvl w:val="2"/>
    </w:pPr>
    <w:rPr>
      <w:rFonts w:ascii="宋体" w:hAnsi="宋体" w:eastAsia="微软雅黑" w:cs="Arial"/>
      <w:b/>
      <w:bCs/>
      <w:sz w:val="21"/>
      <w:szCs w:val="21"/>
      <w:lang w:val="en-US" w:eastAsia="zh-CN" w:bidi="ar-SA"/>
    </w:rPr>
  </w:style>
  <w:style w:type="paragraph" w:styleId="6">
    <w:name w:val="heading 4"/>
    <w:basedOn w:val="1"/>
    <w:next w:val="1"/>
    <w:qFormat/>
    <w:uiPriority w:val="0"/>
    <w:pPr>
      <w:keepNext/>
      <w:numPr>
        <w:ilvl w:val="3"/>
        <w:numId w:val="1"/>
      </w:numPr>
      <w:spacing w:before="240" w:after="60"/>
      <w:outlineLvl w:val="3"/>
    </w:pPr>
    <w:rPr>
      <w:b/>
      <w:bCs/>
      <w:szCs w:val="28"/>
    </w:rPr>
  </w:style>
  <w:style w:type="paragraph" w:styleId="7">
    <w:name w:val="heading 5"/>
    <w:basedOn w:val="1"/>
    <w:next w:val="1"/>
    <w:qFormat/>
    <w:uiPriority w:val="0"/>
    <w:pPr>
      <w:numPr>
        <w:ilvl w:val="4"/>
        <w:numId w:val="1"/>
      </w:numPr>
      <w:spacing w:before="240" w:after="60"/>
      <w:outlineLvl w:val="4"/>
    </w:pPr>
    <w:rPr>
      <w:b/>
      <w:bCs/>
      <w:iCs/>
      <w:szCs w:val="26"/>
    </w:rPr>
  </w:style>
  <w:style w:type="paragraph" w:styleId="8">
    <w:name w:val="heading 6"/>
    <w:basedOn w:val="1"/>
    <w:next w:val="1"/>
    <w:qFormat/>
    <w:uiPriority w:val="0"/>
    <w:pPr>
      <w:numPr>
        <w:ilvl w:val="5"/>
        <w:numId w:val="1"/>
      </w:numPr>
      <w:spacing w:before="240" w:after="60"/>
      <w:outlineLvl w:val="5"/>
    </w:pPr>
    <w:rPr>
      <w:b/>
      <w:bCs/>
      <w:szCs w:val="22"/>
    </w:rPr>
  </w:style>
  <w:style w:type="paragraph" w:styleId="9">
    <w:name w:val="heading 7"/>
    <w:basedOn w:val="1"/>
    <w:next w:val="1"/>
    <w:qFormat/>
    <w:uiPriority w:val="0"/>
    <w:pPr>
      <w:numPr>
        <w:ilvl w:val="6"/>
        <w:numId w:val="1"/>
      </w:numPr>
      <w:spacing w:before="240" w:after="60"/>
      <w:outlineLvl w:val="6"/>
    </w:pPr>
    <w:rPr>
      <w:sz w:val="24"/>
      <w:szCs w:val="24"/>
    </w:rPr>
  </w:style>
  <w:style w:type="paragraph" w:styleId="10">
    <w:name w:val="heading 8"/>
    <w:basedOn w:val="1"/>
    <w:next w:val="1"/>
    <w:qFormat/>
    <w:uiPriority w:val="0"/>
    <w:pPr>
      <w:numPr>
        <w:ilvl w:val="7"/>
        <w:numId w:val="1"/>
      </w:numPr>
      <w:spacing w:before="240" w:after="60"/>
      <w:outlineLvl w:val="7"/>
    </w:pPr>
    <w:rPr>
      <w:i/>
      <w:iCs/>
      <w:sz w:val="24"/>
      <w:szCs w:val="24"/>
    </w:rPr>
  </w:style>
  <w:style w:type="paragraph" w:styleId="11">
    <w:name w:val="heading 9"/>
    <w:basedOn w:val="1"/>
    <w:next w:val="1"/>
    <w:qFormat/>
    <w:uiPriority w:val="0"/>
    <w:pPr>
      <w:numPr>
        <w:ilvl w:val="8"/>
        <w:numId w:val="1"/>
      </w:numPr>
      <w:spacing w:before="240" w:after="60"/>
      <w:outlineLvl w:val="8"/>
    </w:pPr>
    <w:rPr>
      <w:rFonts w:ascii="Arial" w:hAnsi="Arial" w:cs="Arial"/>
      <w:sz w:val="22"/>
      <w:szCs w:val="22"/>
    </w:rPr>
  </w:style>
  <w:style w:type="character" w:default="1" w:styleId="21">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3">
    <w:name w:val="Block Text"/>
    <w:uiPriority w:val="0"/>
    <w:pPr>
      <w:kinsoku w:val="0"/>
      <w:spacing w:line="400" w:lineRule="atLeast"/>
      <w:ind w:firstLine="200" w:firstLineChars="200"/>
      <w:jc w:val="both"/>
    </w:pPr>
    <w:rPr>
      <w:rFonts w:ascii="Times New Roman" w:hAnsi="Times New Roman" w:eastAsia="宋体" w:cs="Times New Roman"/>
      <w:sz w:val="21"/>
      <w:szCs w:val="21"/>
      <w:lang w:val="en-GB" w:eastAsia="zh-CN" w:bidi="ar-SA"/>
    </w:rPr>
  </w:style>
  <w:style w:type="paragraph" w:styleId="12">
    <w:name w:val="Document Map"/>
    <w:basedOn w:val="1"/>
    <w:semiHidden/>
    <w:qFormat/>
    <w:uiPriority w:val="0"/>
    <w:pPr>
      <w:shd w:val="clear" w:color="auto" w:fill="000080"/>
    </w:pPr>
  </w:style>
  <w:style w:type="paragraph" w:styleId="13">
    <w:name w:val="Body Text Indent"/>
    <w:basedOn w:val="1"/>
    <w:link w:val="25"/>
    <w:qFormat/>
    <w:uiPriority w:val="0"/>
    <w:pPr>
      <w:widowControl w:val="0"/>
      <w:spacing w:line="400" w:lineRule="exact"/>
      <w:ind w:firstLine="480" w:firstLineChars="200"/>
      <w:jc w:val="both"/>
    </w:pPr>
    <w:rPr>
      <w:rFonts w:ascii="宋体" w:hAnsi="宋体"/>
      <w:kern w:val="2"/>
      <w:sz w:val="24"/>
      <w:szCs w:val="24"/>
      <w:lang w:val="en-US"/>
    </w:rPr>
  </w:style>
  <w:style w:type="paragraph" w:styleId="14">
    <w:name w:val="toc 3"/>
    <w:basedOn w:val="1"/>
    <w:next w:val="1"/>
    <w:autoRedefine/>
    <w:uiPriority w:val="39"/>
    <w:pPr>
      <w:tabs>
        <w:tab w:val="left" w:pos="210"/>
        <w:tab w:val="left" w:pos="900"/>
        <w:tab w:val="left" w:pos="993"/>
        <w:tab w:val="left" w:pos="1260"/>
        <w:tab w:val="right" w:leader="dot" w:pos="9360"/>
      </w:tabs>
      <w:ind w:left="210" w:firstLine="180" w:firstLineChars="100"/>
    </w:pPr>
    <w:rPr>
      <w:kern w:val="2"/>
      <w:szCs w:val="24"/>
      <w:lang w:val="en-US"/>
    </w:rPr>
  </w:style>
  <w:style w:type="paragraph" w:styleId="15">
    <w:name w:val="footer"/>
    <w:basedOn w:val="1"/>
    <w:link w:val="29"/>
    <w:qFormat/>
    <w:uiPriority w:val="0"/>
    <w:pPr>
      <w:tabs>
        <w:tab w:val="center" w:pos="4153"/>
        <w:tab w:val="right" w:pos="8306"/>
      </w:tabs>
    </w:pPr>
  </w:style>
  <w:style w:type="paragraph" w:styleId="16">
    <w:name w:val="header"/>
    <w:basedOn w:val="1"/>
    <w:qFormat/>
    <w:uiPriority w:val="0"/>
    <w:pPr>
      <w:pBdr>
        <w:bottom w:val="single" w:color="auto" w:sz="6" w:space="1"/>
      </w:pBdr>
      <w:tabs>
        <w:tab w:val="center" w:pos="4153"/>
        <w:tab w:val="right" w:pos="8306"/>
      </w:tabs>
    </w:pPr>
  </w:style>
  <w:style w:type="paragraph" w:styleId="17">
    <w:name w:val="toc 1"/>
    <w:basedOn w:val="1"/>
    <w:next w:val="1"/>
    <w:autoRedefine/>
    <w:uiPriority w:val="39"/>
    <w:pPr>
      <w:tabs>
        <w:tab w:val="left" w:leader="dot" w:pos="180"/>
        <w:tab w:val="left" w:pos="420"/>
        <w:tab w:val="right" w:leader="dot" w:pos="9360"/>
      </w:tabs>
    </w:pPr>
    <w:rPr>
      <w:b/>
      <w:bCs/>
      <w:kern w:val="2"/>
      <w:szCs w:val="24"/>
      <w:lang w:val="en-US"/>
    </w:rPr>
  </w:style>
  <w:style w:type="paragraph" w:styleId="18">
    <w:name w:val="toc 2"/>
    <w:basedOn w:val="1"/>
    <w:next w:val="1"/>
    <w:autoRedefine/>
    <w:qFormat/>
    <w:uiPriority w:val="39"/>
    <w:pPr>
      <w:tabs>
        <w:tab w:val="left" w:pos="540"/>
        <w:tab w:val="left" w:pos="567"/>
        <w:tab w:val="right" w:leader="dot" w:pos="9360"/>
      </w:tabs>
      <w:ind w:left="200"/>
    </w:pPr>
    <w:rPr>
      <w:kern w:val="2"/>
      <w:szCs w:val="24"/>
      <w:lang w:val="en-US"/>
    </w:rPr>
  </w:style>
  <w:style w:type="table" w:styleId="20">
    <w:name w:val="Table Grid"/>
    <w:basedOn w:val="19"/>
    <w:qFormat/>
    <w:uiPriority w:val="39"/>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page number"/>
    <w:basedOn w:val="21"/>
    <w:qFormat/>
    <w:uiPriority w:val="0"/>
  </w:style>
  <w:style w:type="character" w:styleId="23">
    <w:name w:val="FollowedHyperlink"/>
    <w:qFormat/>
    <w:uiPriority w:val="0"/>
    <w:rPr>
      <w:color w:val="800080"/>
      <w:u w:val="single"/>
    </w:rPr>
  </w:style>
  <w:style w:type="character" w:styleId="24">
    <w:name w:val="Hyperlink"/>
    <w:uiPriority w:val="99"/>
    <w:rPr>
      <w:color w:val="0000FF"/>
      <w:u w:val="single"/>
    </w:rPr>
  </w:style>
  <w:style w:type="character" w:customStyle="1" w:styleId="25">
    <w:name w:val="正文文本缩进 字符"/>
    <w:link w:val="13"/>
    <w:qFormat/>
    <w:uiPriority w:val="0"/>
    <w:rPr>
      <w:rFonts w:ascii="宋体" w:hAnsi="宋体" w:eastAsia="宋体"/>
      <w:kern w:val="2"/>
      <w:sz w:val="24"/>
      <w:szCs w:val="24"/>
      <w:lang w:val="en-US" w:eastAsia="zh-CN" w:bidi="ar-SA"/>
    </w:rPr>
  </w:style>
  <w:style w:type="paragraph" w:customStyle="1" w:styleId="26">
    <w:name w:val="标题二"/>
    <w:basedOn w:val="4"/>
    <w:qFormat/>
    <w:uiPriority w:val="0"/>
    <w:pPr>
      <w:keepLines/>
      <w:widowControl w:val="0"/>
      <w:numPr>
        <w:numId w:val="0"/>
      </w:numPr>
      <w:kinsoku/>
      <w:autoSpaceDE w:val="0"/>
      <w:autoSpaceDN w:val="0"/>
      <w:adjustRightInd w:val="0"/>
      <w:spacing w:before="140" w:after="140" w:line="415" w:lineRule="auto"/>
      <w:ind w:right="240"/>
      <w:jc w:val="left"/>
    </w:pPr>
    <w:rPr>
      <w:rFonts w:ascii="仿宋_GB2312" w:eastAsia="黑体" w:cs="Times New Roman"/>
      <w:iCs w:val="0"/>
      <w:color w:val="auto"/>
      <w:sz w:val="28"/>
      <w:szCs w:val="32"/>
    </w:rPr>
  </w:style>
  <w:style w:type="character" w:customStyle="1" w:styleId="27">
    <w:name w:val="Char Char2"/>
    <w:qFormat/>
    <w:locked/>
    <w:uiPriority w:val="0"/>
    <w:rPr>
      <w:rFonts w:ascii="宋体" w:hAnsi="宋体" w:eastAsia="宋体"/>
      <w:kern w:val="2"/>
      <w:sz w:val="24"/>
      <w:szCs w:val="24"/>
      <w:lang w:val="en-US" w:eastAsia="zh-CN" w:bidi="ar-SA"/>
    </w:rPr>
  </w:style>
  <w:style w:type="character" w:customStyle="1" w:styleId="28">
    <w:name w:val="Char Char21"/>
    <w:qFormat/>
    <w:uiPriority w:val="0"/>
    <w:rPr>
      <w:rFonts w:ascii="宋体" w:hAnsi="宋体" w:eastAsia="宋体" w:cs="Times New Roman"/>
      <w:sz w:val="24"/>
      <w:szCs w:val="24"/>
    </w:rPr>
  </w:style>
  <w:style w:type="character" w:customStyle="1" w:styleId="29">
    <w:name w:val="页脚 字符"/>
    <w:link w:val="15"/>
    <w:qFormat/>
    <w:uiPriority w:val="0"/>
    <w:rPr>
      <w:rFonts w:eastAsia="宋体"/>
      <w:sz w:val="18"/>
      <w:szCs w:val="18"/>
      <w:lang w:val="en-GB" w:eastAsia="zh-CN" w:bidi="ar-SA"/>
    </w:rPr>
  </w:style>
  <w:style w:type="character" w:customStyle="1" w:styleId="30">
    <w:name w:val="Char Char1"/>
    <w:qFormat/>
    <w:uiPriority w:val="0"/>
    <w:rPr>
      <w:rFonts w:ascii="宋体" w:hAnsi="宋体" w:eastAsia="宋体"/>
      <w:kern w:val="2"/>
      <w:sz w:val="24"/>
      <w:szCs w:val="24"/>
      <w:lang w:val="en-US" w:eastAsia="zh-CN" w:bidi="ar-SA"/>
    </w:rPr>
  </w:style>
  <w:style w:type="character" w:customStyle="1" w:styleId="31">
    <w:name w:val="Char Char"/>
    <w:locked/>
    <w:uiPriority w:val="0"/>
    <w:rPr>
      <w:rFonts w:ascii="宋体" w:hAnsi="宋体" w:eastAsia="宋体"/>
      <w:kern w:val="2"/>
      <w:sz w:val="24"/>
      <w:szCs w:val="24"/>
      <w:lang w:val="en-US" w:eastAsia="zh-CN" w:bidi="ar-SA"/>
    </w:rPr>
  </w:style>
  <w:style w:type="paragraph" w:styleId="32">
    <w:name w:val="List Paragraph"/>
    <w:basedOn w:val="1"/>
    <w:qFormat/>
    <w:uiPriority w:val="34"/>
    <w:pPr>
      <w:ind w:firstLine="420" w:firstLineChars="200"/>
    </w:pPr>
  </w:style>
  <w:style w:type="paragraph" w:customStyle="1" w:styleId="33">
    <w:name w:val="wenbenk"/>
    <w:basedOn w:val="1"/>
    <w:link w:val="34"/>
    <w:qFormat/>
    <w:uiPriority w:val="0"/>
    <w:pPr>
      <w:jc w:val="center"/>
    </w:pPr>
    <w:rPr>
      <w:bCs/>
    </w:rPr>
  </w:style>
  <w:style w:type="character" w:customStyle="1" w:styleId="34">
    <w:name w:val="wenbenk Char"/>
    <w:link w:val="33"/>
    <w:qFormat/>
    <w:uiPriority w:val="0"/>
    <w:rPr>
      <w:rFonts w:ascii="微软雅黑" w:hAnsi="微软雅黑" w:eastAsia="微软雅黑" w:cs="微软雅黑"/>
      <w:bCs/>
      <w:sz w:val="21"/>
      <w:szCs w:val="21"/>
      <w:lang w:val="en-GB"/>
    </w:rPr>
  </w:style>
</w:style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openxmlformats.org/officeDocument/2006/relationships/image" Target="media/image2.bmp"/><Relationship Id="rId7" Type="http://schemas.openxmlformats.org/officeDocument/2006/relationships/theme" Target="theme/theme1.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image" Target="media/image6.wmf"/><Relationship Id="rId11" Type="http://schemas.openxmlformats.org/officeDocument/2006/relationships/image" Target="media/image5.png"/><Relationship Id="rId10" Type="http://schemas.openxmlformats.org/officeDocument/2006/relationships/image" Target="media/image4.wmf"/><Relationship Id="rId1" Type="http://schemas.openxmlformats.org/officeDocument/2006/relationships/styles" Target="styles.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29734\AppData\Local\Temp\tmp3.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tmp3.dotx</Template>
  <Pages>9</Pages>
  <Words>2668</Words>
  <Characters>3286</Characters>
  <Lines>30</Lines>
  <Paragraphs>8</Paragraphs>
  <TotalTime>0</TotalTime>
  <ScaleCrop>false</ScaleCrop>
  <LinksUpToDate>false</LinksUpToDate>
  <CharactersWithSpaces>4956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2026-03-24T08:18:00Z</dcterms:created>
  <dc:creator>ez4m0</dc:creator>
  <cp:lastModifiedBy>ez4m0</cp:lastModifiedBy>
  <dcterms:modified xsi:type="dcterms:W3CDTF">2026-03-24T08:18:48Z</dcterms:modified>
  <dc:title>公共建筑地下空间采光系数计算书</dc:title>
  <cp:revision>71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A05596B73D3940D3BB1E64EAB033F922_11</vt:lpwstr>
  </property>
  <property fmtid="{D5CDD505-2E9C-101B-9397-08002B2CF9AE}" pid="4" name="KSOTemplateDocerSaveRecord">
    <vt:lpwstr>eyJoZGlkIjoiOWFkYTZlOGU0MGI5NTEzYjVjZWExYmFiYzBlN2JmMTEiLCJ1c2VySWQiOiIxMjYzNzc2NDExIn0=</vt:lpwstr>
  </property>
</Properties>
</file>