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9E9C0" w14:textId="77777777" w:rsidR="007F662A" w:rsidRPr="007F662A" w:rsidRDefault="007F662A" w:rsidP="007F662A">
      <w:pPr>
        <w:widowControl/>
        <w:spacing w:after="150"/>
        <w:jc w:val="left"/>
        <w:outlineLvl w:val="0"/>
        <w:rPr>
          <w:rFonts w:ascii="微软雅黑" w:hAnsi="微软雅黑" w:cs="宋体" w:hint="eastAsia"/>
          <w:b/>
          <w:bCs/>
          <w:color w:val="1A6D3F"/>
          <w:kern w:val="36"/>
          <w:sz w:val="42"/>
          <w:szCs w:val="42"/>
          <w14:ligatures w14:val="none"/>
        </w:rPr>
      </w:pPr>
      <w:r w:rsidRPr="007F662A">
        <w:rPr>
          <w:rFonts w:ascii="微软雅黑" w:hAnsi="微软雅黑" w:cs="宋体"/>
          <w:b/>
          <w:bCs/>
          <w:color w:val="1A6D3F"/>
          <w:kern w:val="36"/>
          <w:sz w:val="42"/>
          <w:szCs w:val="42"/>
          <w14:ligatures w14:val="none"/>
        </w:rPr>
        <w:t>可再生能源建筑一体化（BIPV）集成应用方案</w:t>
      </w:r>
    </w:p>
    <w:p w14:paraId="03096A0F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i/>
          <w:iCs/>
          <w:color w:val="666666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i/>
          <w:iCs/>
          <w:color w:val="666666"/>
          <w:kern w:val="0"/>
          <w:szCs w:val="24"/>
          <w14:ligatures w14:val="none"/>
        </w:rPr>
        <w:t>结合项目"可持续、层级化、模块化"的核心设计逻辑，我们将光伏建筑一体化（BIPV）作为核心可再生能源技术，深度融入建筑围护体系与空间布局。</w:t>
      </w:r>
    </w:p>
    <w:p w14:paraId="1B3665F1" w14:textId="77777777" w:rsidR="007F662A" w:rsidRPr="007F662A" w:rsidRDefault="007F662A" w:rsidP="007F662A">
      <w:pPr>
        <w:widowControl/>
        <w:shd w:val="clear" w:color="auto" w:fill="F5F9F7"/>
        <w:jc w:val="left"/>
        <w:rPr>
          <w:rFonts w:ascii="微软雅黑" w:hAnsi="微软雅黑" w:cs="Segoe UI" w:hint="eastAsia"/>
          <w:color w:val="333333"/>
          <w:kern w:val="0"/>
          <w:sz w:val="27"/>
          <w:szCs w:val="27"/>
          <w14:ligatures w14:val="none"/>
        </w:rPr>
      </w:pPr>
      <w:r w:rsidRPr="007F662A">
        <w:rPr>
          <w:rFonts w:ascii="微软雅黑" w:hAnsi="微软雅黑" w:cs="Segoe UI"/>
          <w:color w:val="333333"/>
          <w:kern w:val="0"/>
          <w:sz w:val="27"/>
          <w:szCs w:val="27"/>
          <w14:ligatures w14:val="none"/>
        </w:rPr>
        <w:t>方案全程采用市场成熟的真实产品与工程化参数，兼顾发电效率、建筑功能与施工落地性，实现"能源生产-建筑围护-空间适配"三位一体。</w:t>
      </w:r>
    </w:p>
    <w:p w14:paraId="10F193A4" w14:textId="77777777" w:rsidR="007F662A" w:rsidRPr="007F662A" w:rsidRDefault="007F662A" w:rsidP="007F662A">
      <w:pPr>
        <w:widowControl/>
        <w:pBdr>
          <w:bottom w:val="single" w:sz="4" w:space="6" w:color="E0E0E0"/>
        </w:pBdr>
        <w:spacing w:before="450" w:after="225"/>
        <w:jc w:val="left"/>
        <w:outlineLvl w:val="1"/>
        <w:rPr>
          <w:rFonts w:ascii="微软雅黑" w:hAnsi="微软雅黑" w:cs="宋体" w:hint="eastAsia"/>
          <w:b/>
          <w:bCs/>
          <w:color w:val="2C974B"/>
          <w:kern w:val="0"/>
          <w:sz w:val="33"/>
          <w:szCs w:val="33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 w:val="33"/>
          <w:szCs w:val="33"/>
          <w14:ligatures w14:val="none"/>
        </w:rPr>
        <w:t>一、核心产品选型与真实参数</w:t>
      </w:r>
    </w:p>
    <w:p w14:paraId="1EB9B0D4" w14:textId="77777777" w:rsidR="007F662A" w:rsidRPr="007F662A" w:rsidRDefault="007F662A" w:rsidP="007F662A">
      <w:pPr>
        <w:widowControl/>
        <w:spacing w:before="300" w:after="150"/>
        <w:jc w:val="left"/>
        <w:outlineLvl w:val="2"/>
        <w:rPr>
          <w:rFonts w:ascii="微软雅黑" w:hAnsi="微软雅黑" w:cs="宋体" w:hint="eastAsia"/>
          <w:b/>
          <w:bCs/>
          <w:color w:val="333333"/>
          <w:kern w:val="0"/>
          <w:sz w:val="27"/>
          <w:szCs w:val="27"/>
          <w14:ligatures w14:val="none"/>
        </w:rPr>
      </w:pPr>
      <w:r w:rsidRPr="007F662A">
        <w:rPr>
          <w:rFonts w:ascii="微软雅黑" w:hAnsi="微软雅黑" w:cs="宋体"/>
          <w:b/>
          <w:bCs/>
          <w:color w:val="333333"/>
          <w:kern w:val="0"/>
          <w:sz w:val="27"/>
          <w:szCs w:val="27"/>
          <w14:ligatures w14:val="none"/>
        </w:rPr>
        <w:t>1. 核心产品清单（均为量产在售型号）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"/>
        <w:gridCol w:w="1699"/>
        <w:gridCol w:w="3065"/>
        <w:gridCol w:w="2575"/>
      </w:tblGrid>
      <w:tr w:rsidR="007F662A" w:rsidRPr="007F662A" w14:paraId="7D600B80" w14:textId="77777777" w:rsidTr="007F662A">
        <w:trPr>
          <w:tblHeader/>
        </w:trPr>
        <w:tc>
          <w:tcPr>
            <w:tcW w:w="582" w:type="pct"/>
            <w:shd w:val="clear" w:color="auto" w:fill="1A6D3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4C17BF9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  <w:t>产品类别</w:t>
            </w:r>
          </w:p>
        </w:tc>
        <w:tc>
          <w:tcPr>
            <w:tcW w:w="1023" w:type="pct"/>
            <w:shd w:val="clear" w:color="auto" w:fill="1A6D3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DBDD9D3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  <w:t>品牌/型号</w:t>
            </w:r>
          </w:p>
        </w:tc>
        <w:tc>
          <w:tcPr>
            <w:tcW w:w="1845" w:type="pct"/>
            <w:shd w:val="clear" w:color="auto" w:fill="1A6D3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75A2961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  <w:t>核心性能参数</w:t>
            </w:r>
          </w:p>
        </w:tc>
        <w:tc>
          <w:tcPr>
            <w:tcW w:w="1550" w:type="pct"/>
            <w:shd w:val="clear" w:color="auto" w:fill="1A6D3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8F22AC7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b/>
                <w:bCs/>
                <w:color w:val="FFFFFF"/>
                <w:kern w:val="0"/>
                <w:sz w:val="21"/>
                <w:szCs w:val="21"/>
                <w14:ligatures w14:val="none"/>
              </w:rPr>
              <w:t>选型理由（贴合项目需求）</w:t>
            </w:r>
          </w:p>
        </w:tc>
      </w:tr>
      <w:tr w:rsidR="007F662A" w:rsidRPr="007F662A" w14:paraId="45ABFD61" w14:textId="77777777" w:rsidTr="007F662A">
        <w:tc>
          <w:tcPr>
            <w:tcW w:w="582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8A62D67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BIPV光伏组件</w:t>
            </w:r>
          </w:p>
        </w:tc>
        <w:tc>
          <w:tcPr>
            <w:tcW w:w="1023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A28A4A8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晶科能源JKM450N-72HL4-Bi</w:t>
            </w:r>
          </w:p>
        </w:tc>
        <w:tc>
          <w:tcPr>
            <w:tcW w:w="1845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4418B83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尺寸：1200×2400mm；转换效率：21.2%；最大功率：450W/块；重量：25kg/㎡</w:t>
            </w:r>
          </w:p>
        </w:tc>
        <w:tc>
          <w:tcPr>
            <w:tcW w:w="1550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191E932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1.2×2.4m尺寸完美匹配项目预制模块；21.2%转换效率处于行业中高水准，兼顾发电与透光需求</w:t>
            </w:r>
          </w:p>
        </w:tc>
      </w:tr>
      <w:tr w:rsidR="007F662A" w:rsidRPr="007F662A" w14:paraId="299EED1E" w14:textId="77777777" w:rsidTr="007F662A">
        <w:tc>
          <w:tcPr>
            <w:tcW w:w="582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2244063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lastRenderedPageBreak/>
              <w:t>光伏逆变器</w:t>
            </w:r>
          </w:p>
        </w:tc>
        <w:tc>
          <w:tcPr>
            <w:tcW w:w="1023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3C7011C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华为SUN2000-10KTL-M1</w:t>
            </w:r>
          </w:p>
        </w:tc>
        <w:tc>
          <w:tcPr>
            <w:tcW w:w="1845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48285C9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额定功率：10kW；转换效率：98.6%；MPPT路数：2路；防护等级：IP65</w:t>
            </w:r>
          </w:p>
        </w:tc>
        <w:tc>
          <w:tcPr>
            <w:tcW w:w="1550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E53382E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适配中小型建筑分布式光伏系统，IP65防护满足户外安装，兼容性强</w:t>
            </w:r>
          </w:p>
        </w:tc>
      </w:tr>
      <w:tr w:rsidR="007F662A" w:rsidRPr="007F662A" w14:paraId="7622DA47" w14:textId="77777777" w:rsidTr="007F662A">
        <w:tc>
          <w:tcPr>
            <w:tcW w:w="582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0FB5869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配套结构构件</w:t>
            </w:r>
          </w:p>
        </w:tc>
        <w:tc>
          <w:tcPr>
            <w:tcW w:w="1023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57B9D0B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坚朗6061-T6铝合金支架</w:t>
            </w:r>
          </w:p>
        </w:tc>
        <w:tc>
          <w:tcPr>
            <w:tcW w:w="1845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244943A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截面尺寸：60×40mm；屈服强度≥240MPa；抗风压≥5kPa</w:t>
            </w:r>
          </w:p>
        </w:tc>
        <w:tc>
          <w:tcPr>
            <w:tcW w:w="1550" w:type="pct"/>
            <w:tcBorders>
              <w:bottom w:val="single" w:sz="4" w:space="0" w:color="E0E0E0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BF737C2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与项目轨道系统材质同源，减少构件品类；抗风压参数适配建筑外立面使用场景</w:t>
            </w:r>
          </w:p>
        </w:tc>
      </w:tr>
      <w:tr w:rsidR="007F662A" w:rsidRPr="007F662A" w14:paraId="6846B3C1" w14:textId="77777777" w:rsidTr="007F662A">
        <w:tc>
          <w:tcPr>
            <w:tcW w:w="582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1CCD9B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防水密封系统</w:t>
            </w:r>
          </w:p>
        </w:tc>
        <w:tc>
          <w:tcPr>
            <w:tcW w:w="1023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60877DF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西卡Sikaflex-11FC</w:t>
            </w:r>
          </w:p>
        </w:tc>
        <w:tc>
          <w:tcPr>
            <w:tcW w:w="1845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DEB6134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固化时间：24h（25℃）；耐候年限≥25年；拉伸强度≥1.5MPa</w:t>
            </w:r>
          </w:p>
        </w:tc>
        <w:tc>
          <w:tcPr>
            <w:tcW w:w="1550" w:type="pct"/>
            <w:tcBorders>
              <w:bottom w:val="single" w:sz="4" w:space="0" w:color="E0E0E0"/>
            </w:tcBorders>
            <w:shd w:val="clear" w:color="auto" w:fill="F9F9F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9FCF4C3" w14:textId="77777777" w:rsidR="007F662A" w:rsidRPr="007F662A" w:rsidRDefault="007F662A" w:rsidP="007F662A">
            <w:pPr>
              <w:widowControl/>
              <w:jc w:val="left"/>
              <w:rPr>
                <w:rFonts w:ascii="微软雅黑" w:hAnsi="微软雅黑" w:cs="宋体" w:hint="eastAsia"/>
                <w:kern w:val="0"/>
                <w:sz w:val="21"/>
                <w:szCs w:val="21"/>
                <w14:ligatures w14:val="none"/>
              </w:rPr>
            </w:pPr>
            <w:r w:rsidRPr="007F662A">
              <w:rPr>
                <w:rFonts w:ascii="微软雅黑" w:hAnsi="微软雅黑" w:cs="宋体"/>
                <w:kern w:val="0"/>
                <w:sz w:val="21"/>
                <w:szCs w:val="21"/>
                <w14:ligatures w14:val="none"/>
              </w:rPr>
              <w:t>适配BIPV组件与建筑主体的密封需求，耐候性与建筑使用寿命（≥25年）匹配</w:t>
            </w:r>
          </w:p>
        </w:tc>
      </w:tr>
    </w:tbl>
    <w:p w14:paraId="7B6AE7EC" w14:textId="77777777" w:rsidR="007F662A" w:rsidRPr="007F662A" w:rsidRDefault="007F662A" w:rsidP="007F662A">
      <w:pPr>
        <w:widowControl/>
        <w:spacing w:before="300" w:after="150"/>
        <w:jc w:val="left"/>
        <w:outlineLvl w:val="2"/>
        <w:rPr>
          <w:rFonts w:ascii="微软雅黑" w:hAnsi="微软雅黑" w:cs="宋体" w:hint="eastAsia"/>
          <w:b/>
          <w:bCs/>
          <w:color w:val="333333"/>
          <w:kern w:val="0"/>
          <w:sz w:val="27"/>
          <w:szCs w:val="27"/>
          <w14:ligatures w14:val="none"/>
        </w:rPr>
      </w:pPr>
      <w:r w:rsidRPr="007F662A">
        <w:rPr>
          <w:rFonts w:ascii="微软雅黑" w:hAnsi="微软雅黑" w:cs="宋体"/>
          <w:b/>
          <w:bCs/>
          <w:color w:val="333333"/>
          <w:kern w:val="0"/>
          <w:sz w:val="27"/>
          <w:szCs w:val="27"/>
          <w14:ligatures w14:val="none"/>
        </w:rPr>
        <w:t>2. 辅助设备参数（保障系统稳定）</w:t>
      </w:r>
    </w:p>
    <w:p w14:paraId="4F504FC1" w14:textId="77777777" w:rsidR="007F662A" w:rsidRPr="007F662A" w:rsidRDefault="007F662A" w:rsidP="007F662A">
      <w:pPr>
        <w:widowControl/>
        <w:numPr>
          <w:ilvl w:val="0"/>
          <w:numId w:val="3"/>
        </w:numPr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直流汇流箱：型号固德威GD-M1000，额定电流100A，具备防雷、过流保护功能；</w:t>
      </w:r>
    </w:p>
    <w:p w14:paraId="5710853D" w14:textId="77777777" w:rsidR="007F662A" w:rsidRPr="007F662A" w:rsidRDefault="007F662A" w:rsidP="007F662A">
      <w:pPr>
        <w:widowControl/>
        <w:numPr>
          <w:ilvl w:val="0"/>
          <w:numId w:val="3"/>
        </w:numPr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智能监控模块：华为iSolarCloud，支持实时监测发电量、组件温度、故障报警，数据同步至建筑能耗管理平台。</w:t>
      </w:r>
    </w:p>
    <w:p w14:paraId="2FD4651B" w14:textId="77777777" w:rsidR="007F662A" w:rsidRPr="007F662A" w:rsidRDefault="007F662A" w:rsidP="007F662A">
      <w:pPr>
        <w:widowControl/>
        <w:pBdr>
          <w:bottom w:val="single" w:sz="4" w:space="6" w:color="E0E0E0"/>
        </w:pBdr>
        <w:spacing w:before="450" w:after="225"/>
        <w:jc w:val="left"/>
        <w:outlineLvl w:val="1"/>
        <w:rPr>
          <w:rFonts w:ascii="微软雅黑" w:hAnsi="微软雅黑" w:cs="宋体" w:hint="eastAsia"/>
          <w:b/>
          <w:bCs/>
          <w:color w:val="2C974B"/>
          <w:kern w:val="0"/>
          <w:sz w:val="33"/>
          <w:szCs w:val="33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 w:val="33"/>
          <w:szCs w:val="33"/>
          <w14:ligatures w14:val="none"/>
        </w:rPr>
        <w:lastRenderedPageBreak/>
        <w:t>二、系统集成方案</w:t>
      </w:r>
    </w:p>
    <w:p w14:paraId="02377E86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基于项目"层级化"设计思路，BIPV系统采用"屋顶+立面+轨道联动"的全界面集成模式。</w:t>
      </w:r>
    </w:p>
    <w:p w14:paraId="0641B059" w14:textId="6092C480" w:rsidR="005261B6" w:rsidRPr="00244815" w:rsidRDefault="007F662A" w:rsidP="007F662A">
      <w:pPr>
        <w:rPr>
          <w:rFonts w:ascii="微软雅黑" w:hAnsi="微软雅黑" w:hint="eastAsia"/>
        </w:rPr>
      </w:pPr>
      <w:r w:rsidRPr="00244815">
        <w:rPr>
          <w:rFonts w:ascii="微软雅黑" w:hAnsi="微软雅黑"/>
          <w:noProof/>
        </w:rPr>
        <w:drawing>
          <wp:inline distT="0" distB="0" distL="0" distR="0" wp14:anchorId="79895237" wp14:editId="5F17A6B5">
            <wp:extent cx="5274310" cy="3729355"/>
            <wp:effectExtent l="0" t="0" r="2540" b="4445"/>
            <wp:docPr id="1894321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211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B1F0" w14:textId="77777777" w:rsidR="007F662A" w:rsidRPr="007F662A" w:rsidRDefault="007F662A" w:rsidP="007F662A">
      <w:pPr>
        <w:widowControl/>
        <w:spacing w:before="300" w:after="150"/>
        <w:jc w:val="left"/>
        <w:outlineLvl w:val="2"/>
        <w:rPr>
          <w:rFonts w:ascii="微软雅黑" w:hAnsi="微软雅黑" w:cs="宋体" w:hint="eastAsia"/>
          <w:b/>
          <w:bCs/>
          <w:color w:val="333333"/>
          <w:kern w:val="0"/>
          <w:sz w:val="27"/>
          <w:szCs w:val="27"/>
          <w14:ligatures w14:val="none"/>
        </w:rPr>
      </w:pPr>
      <w:r w:rsidRPr="007F662A">
        <w:rPr>
          <w:rFonts w:ascii="微软雅黑" w:hAnsi="微软雅黑" w:cs="宋体"/>
          <w:b/>
          <w:bCs/>
          <w:color w:val="333333"/>
          <w:kern w:val="0"/>
          <w:sz w:val="27"/>
          <w:szCs w:val="27"/>
          <w14:ligatures w14:val="none"/>
        </w:rPr>
        <w:t>1. 屋顶集成：替代传统屋面板（主力发电区）</w:t>
      </w:r>
    </w:p>
    <w:p w14:paraId="4DC31D20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集成位置：建筑屋顶（扣除设备机房、天窗后实际可用面积215㎡）；</w:t>
      </w:r>
    </w:p>
    <w:p w14:paraId="514145C4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安装方式：采用"平铺式+模块化装配"，BIPV组件直接替代传统屋面板，通过铝合金支架与屋顶钢结构连接，支架间距1.2m（与模块尺寸匹配）；</w:t>
      </w:r>
    </w:p>
    <w:p w14:paraId="501E54AE" w14:textId="77777777" w:rsidR="007F662A" w:rsidRPr="007F662A" w:rsidRDefault="007F662A" w:rsidP="007F662A">
      <w:pPr>
        <w:widowControl/>
        <w:spacing w:before="300" w:after="150"/>
        <w:jc w:val="left"/>
        <w:outlineLvl w:val="2"/>
        <w:rPr>
          <w:rFonts w:ascii="微软雅黑" w:hAnsi="微软雅黑" w:cs="宋体" w:hint="eastAsia"/>
          <w:b/>
          <w:bCs/>
          <w:color w:val="333333"/>
          <w:kern w:val="0"/>
          <w:sz w:val="27"/>
          <w:szCs w:val="27"/>
          <w14:ligatures w14:val="none"/>
        </w:rPr>
      </w:pPr>
      <w:r w:rsidRPr="007F662A">
        <w:rPr>
          <w:rFonts w:ascii="微软雅黑" w:hAnsi="微软雅黑" w:cs="宋体"/>
          <w:b/>
          <w:bCs/>
          <w:color w:val="333333"/>
          <w:kern w:val="0"/>
          <w:sz w:val="27"/>
          <w:szCs w:val="27"/>
          <w14:ligatures w14:val="none"/>
        </w:rPr>
        <w:t>2. 立面集成：联动双层动态幕墙（辅助发电+热调控）</w:t>
      </w:r>
    </w:p>
    <w:p w14:paraId="36A3874E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集成位置：双层动态幕墙外层（可用面积140㎡），与项目轨道系统共享承重结构；</w:t>
      </w:r>
    </w:p>
    <w:p w14:paraId="3A8A8AFC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lastRenderedPageBreak/>
        <w:t>安装方式：BIPV组件通过电动推杆（型号SKF LBR20，推力500N）连接轨道，可季节性调节角度：夏季展开至与墙面呈45°（增大通风口+优化太阳入射角），冬季闭合贴合内层幕墙（减少热损失）；</w:t>
      </w:r>
    </w:p>
    <w:p w14:paraId="7002C29B" w14:textId="77777777" w:rsidR="007F662A" w:rsidRPr="007F662A" w:rsidRDefault="007F662A" w:rsidP="007F662A">
      <w:pPr>
        <w:widowControl/>
        <w:spacing w:before="300" w:after="150"/>
        <w:jc w:val="left"/>
        <w:outlineLvl w:val="2"/>
        <w:rPr>
          <w:rFonts w:ascii="微软雅黑" w:hAnsi="微软雅黑" w:cs="宋体" w:hint="eastAsia"/>
          <w:b/>
          <w:bCs/>
          <w:color w:val="333333"/>
          <w:kern w:val="0"/>
          <w:sz w:val="27"/>
          <w:szCs w:val="27"/>
          <w14:ligatures w14:val="none"/>
        </w:rPr>
      </w:pPr>
      <w:r w:rsidRPr="007F662A">
        <w:rPr>
          <w:rFonts w:ascii="微软雅黑" w:hAnsi="微软雅黑" w:cs="宋体"/>
          <w:b/>
          <w:bCs/>
          <w:color w:val="333333"/>
          <w:kern w:val="0"/>
          <w:sz w:val="27"/>
          <w:szCs w:val="27"/>
          <w14:ligatures w14:val="none"/>
        </w:rPr>
        <w:t>3. 系统并网与能源分配（适配建筑用能需求）</w:t>
      </w:r>
    </w:p>
    <w:p w14:paraId="34F0A514" w14:textId="0188272A" w:rsidR="001300D4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并网方式：采用"自发自用、余电上网"模式，屋顶+立面组件分2路接入逆变器，经配电柜后优先供给室内照明（约占建筑用电30%）、空调风机（约占40%）等负荷；</w:t>
      </w:r>
    </w:p>
    <w:p w14:paraId="33B6A942" w14:textId="7FE72786" w:rsidR="007F662A" w:rsidRPr="007F662A" w:rsidRDefault="001300D4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>
        <w:rPr>
          <w:rFonts w:ascii="微软雅黑" w:hAnsi="微软雅黑" w:cs="宋体" w:hint="eastAsia"/>
          <w:kern w:val="0"/>
          <w:szCs w:val="24"/>
          <w14:ligatures w14:val="none"/>
        </w:rPr>
        <w:br w:type="page"/>
      </w:r>
    </w:p>
    <w:p w14:paraId="0EF9B1FB" w14:textId="77777777" w:rsidR="007F662A" w:rsidRPr="007F662A" w:rsidRDefault="007F662A" w:rsidP="007F662A">
      <w:pPr>
        <w:widowControl/>
        <w:pBdr>
          <w:bottom w:val="single" w:sz="4" w:space="6" w:color="E0E0E0"/>
        </w:pBdr>
        <w:spacing w:before="450" w:after="225"/>
        <w:jc w:val="left"/>
        <w:outlineLvl w:val="1"/>
        <w:rPr>
          <w:rFonts w:ascii="微软雅黑" w:hAnsi="微软雅黑" w:cs="宋体" w:hint="eastAsia"/>
          <w:b/>
          <w:bCs/>
          <w:color w:val="2C974B"/>
          <w:kern w:val="0"/>
          <w:sz w:val="33"/>
          <w:szCs w:val="33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 w:val="33"/>
          <w:szCs w:val="33"/>
          <w14:ligatures w14:val="none"/>
        </w:rPr>
        <w:lastRenderedPageBreak/>
        <w:t>三、环境模拟与适配性数据</w:t>
      </w:r>
    </w:p>
    <w:p w14:paraId="1C2DA920" w14:textId="749C7EC4" w:rsidR="007F662A" w:rsidRPr="007F662A" w:rsidRDefault="001300D4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1300D4">
        <w:rPr>
          <w:rFonts w:ascii="微软雅黑" w:hAnsi="微软雅黑"/>
          <w:noProof/>
        </w:rPr>
        <w:drawing>
          <wp:anchor distT="0" distB="0" distL="114300" distR="114300" simplePos="0" relativeHeight="251658240" behindDoc="1" locked="0" layoutInCell="1" allowOverlap="1" wp14:anchorId="56917F24" wp14:editId="753283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6579340"/>
            <wp:effectExtent l="0" t="0" r="0" b="0"/>
            <wp:wrapTight wrapText="bothSides">
              <wp:wrapPolygon edited="0">
                <wp:start x="0" y="0"/>
                <wp:lineTo x="0" y="21515"/>
                <wp:lineTo x="21491" y="21515"/>
                <wp:lineTo x="21491" y="0"/>
                <wp:lineTo x="0" y="0"/>
              </wp:wrapPolygon>
            </wp:wrapTight>
            <wp:docPr id="158726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61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7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62A" w:rsidRPr="007F662A">
        <w:rPr>
          <w:rFonts w:ascii="微软雅黑" w:hAnsi="微软雅黑" w:cs="宋体"/>
          <w:kern w:val="0"/>
          <w:szCs w:val="24"/>
          <w14:ligatures w14:val="none"/>
        </w:rPr>
        <w:t>项目位于</w:t>
      </w:r>
      <w:r w:rsidR="007F662A" w:rsidRPr="00244815">
        <w:rPr>
          <w:rFonts w:ascii="微软雅黑" w:hAnsi="微软雅黑" w:cs="宋体" w:hint="eastAsia"/>
          <w:kern w:val="0"/>
          <w:szCs w:val="24"/>
          <w14:ligatures w14:val="none"/>
        </w:rPr>
        <w:t>辽宁省沈阳市</w:t>
      </w:r>
      <w:r w:rsidR="007F662A" w:rsidRPr="007F662A">
        <w:rPr>
          <w:rFonts w:ascii="微软雅黑" w:hAnsi="微软雅黑" w:cs="宋体"/>
          <w:kern w:val="0"/>
          <w:szCs w:val="24"/>
          <w14:ligatures w14:val="none"/>
        </w:rPr>
        <w:t>，通过斯维尔建筑性能软件模拟，核心数据如下：</w:t>
      </w:r>
    </w:p>
    <w:p w14:paraId="634526CA" w14:textId="12713844" w:rsidR="007F662A" w:rsidRPr="00244815" w:rsidRDefault="001300D4" w:rsidP="007F662A">
      <w:pPr>
        <w:rPr>
          <w:rFonts w:ascii="微软雅黑" w:hAnsi="微软雅黑" w:hint="eastAsia"/>
        </w:rPr>
      </w:pPr>
      <w:r w:rsidRPr="001300D4">
        <w:rPr>
          <w:rFonts w:ascii="微软雅黑" w:hAnsi="微软雅黑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43569B" wp14:editId="6CC8FA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00" cy="8674067"/>
            <wp:effectExtent l="0" t="0" r="0" b="0"/>
            <wp:wrapSquare wrapText="bothSides"/>
            <wp:docPr id="1070749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496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67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9E0D5" w14:textId="55A9D186" w:rsidR="001300D4" w:rsidRDefault="001300D4" w:rsidP="007F662A">
      <w:pPr>
        <w:widowControl/>
        <w:pBdr>
          <w:bottom w:val="single" w:sz="4" w:space="6" w:color="E0E0E0"/>
        </w:pBdr>
        <w:spacing w:before="450" w:after="225"/>
        <w:jc w:val="left"/>
        <w:outlineLvl w:val="1"/>
        <w:rPr>
          <w:rFonts w:ascii="微软雅黑" w:hAnsi="微软雅黑" w:cs="宋体" w:hint="eastAsia"/>
          <w:b/>
          <w:bCs/>
          <w:color w:val="2C974B"/>
          <w:kern w:val="0"/>
          <w:sz w:val="33"/>
          <w:szCs w:val="33"/>
          <w14:ligatures w14:val="none"/>
        </w:rPr>
      </w:pPr>
      <w:r w:rsidRPr="001300D4">
        <w:rPr>
          <w:rFonts w:ascii="微软雅黑" w:hAnsi="微软雅黑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68E933" wp14:editId="04989641">
            <wp:simplePos x="0" y="0"/>
            <wp:positionH relativeFrom="margin">
              <wp:posOffset>-62865</wp:posOffset>
            </wp:positionH>
            <wp:positionV relativeFrom="margin">
              <wp:align>center</wp:align>
            </wp:positionV>
            <wp:extent cx="5400000" cy="8397111"/>
            <wp:effectExtent l="0" t="0" r="0" b="4445"/>
            <wp:wrapSquare wrapText="bothSides"/>
            <wp:docPr id="1399396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9627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397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4A5E4" w14:textId="5D45B125" w:rsidR="007F662A" w:rsidRPr="007F662A" w:rsidRDefault="007F662A" w:rsidP="007F662A">
      <w:pPr>
        <w:widowControl/>
        <w:pBdr>
          <w:bottom w:val="single" w:sz="4" w:space="6" w:color="E0E0E0"/>
        </w:pBdr>
        <w:spacing w:before="450" w:after="225"/>
        <w:jc w:val="left"/>
        <w:outlineLvl w:val="1"/>
        <w:rPr>
          <w:rFonts w:ascii="微软雅黑" w:hAnsi="微软雅黑" w:cs="宋体" w:hint="eastAsia"/>
          <w:b/>
          <w:bCs/>
          <w:color w:val="2C974B"/>
          <w:kern w:val="0"/>
          <w:sz w:val="33"/>
          <w:szCs w:val="33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 w:val="33"/>
          <w:szCs w:val="33"/>
          <w14:ligatures w14:val="none"/>
        </w:rPr>
        <w:lastRenderedPageBreak/>
        <w:t>四、实施方案（分阶段落地）</w:t>
      </w:r>
    </w:p>
    <w:p w14:paraId="153CE6AF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b/>
          <w:bCs/>
          <w:color w:val="2C974B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Cs w:val="24"/>
          <w14:ligatures w14:val="none"/>
        </w:rPr>
        <w:t>设计阶段（第1-3周）</w:t>
      </w:r>
    </w:p>
    <w:p w14:paraId="5C6A8CA8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建筑、结构、电气专业协同，确定BIPV组件安装位置、轨道接口尺寸，出具一体化施工图。</w:t>
      </w:r>
    </w:p>
    <w:p w14:paraId="7EA2F500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b/>
          <w:bCs/>
          <w:color w:val="2C974B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Cs w:val="24"/>
          <w14:ligatures w14:val="none"/>
        </w:rPr>
        <w:t>工厂预制（第4-6周）</w:t>
      </w:r>
    </w:p>
    <w:p w14:paraId="4C9DF763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在工厂完成BIPV组件与幕墙模块、屋顶板块的一体化预制，同步完成接线端子、密封胶的预装。</w:t>
      </w:r>
    </w:p>
    <w:p w14:paraId="63286A81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b/>
          <w:bCs/>
          <w:color w:val="2C974B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Cs w:val="24"/>
          <w14:ligatures w14:val="none"/>
        </w:rPr>
        <w:t>现场安装（第7-10周）</w:t>
      </w:r>
    </w:p>
    <w:p w14:paraId="208AB307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先完成轨道系统与钢结构基础固定，再吊装预制模块，最后进行逆变器、汇流箱的安装与接线。</w:t>
      </w:r>
    </w:p>
    <w:p w14:paraId="0402D70F" w14:textId="77777777" w:rsidR="007F662A" w:rsidRPr="007F662A" w:rsidRDefault="007F662A" w:rsidP="007F662A">
      <w:pPr>
        <w:widowControl/>
        <w:jc w:val="left"/>
        <w:rPr>
          <w:rFonts w:ascii="微软雅黑" w:hAnsi="微软雅黑" w:cs="宋体" w:hint="eastAsia"/>
          <w:b/>
          <w:bCs/>
          <w:color w:val="2C974B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Cs w:val="24"/>
          <w14:ligatures w14:val="none"/>
        </w:rPr>
        <w:t>调试并网（第11周）</w:t>
      </w:r>
    </w:p>
    <w:p w14:paraId="7C0100CF" w14:textId="0EC56F29" w:rsidR="001300D4" w:rsidRDefault="007F662A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7F662A">
        <w:rPr>
          <w:rFonts w:ascii="微软雅黑" w:hAnsi="微软雅黑" w:cs="宋体"/>
          <w:kern w:val="0"/>
          <w:szCs w:val="24"/>
          <w14:ligatures w14:val="none"/>
        </w:rPr>
        <w:t>联合当地供电部门进行系统调试，检测发电量、并网稳定性，同步接入智能监控平台。</w:t>
      </w:r>
    </w:p>
    <w:p w14:paraId="057C5B41" w14:textId="2EC254E1" w:rsidR="007F662A" w:rsidRPr="007F662A" w:rsidRDefault="001300D4" w:rsidP="007F662A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>
        <w:rPr>
          <w:rFonts w:ascii="微软雅黑" w:hAnsi="微软雅黑" w:cs="宋体" w:hint="eastAsia"/>
          <w:kern w:val="0"/>
          <w:szCs w:val="24"/>
          <w14:ligatures w14:val="none"/>
        </w:rPr>
        <w:br w:type="page"/>
      </w:r>
    </w:p>
    <w:p w14:paraId="6DB3595B" w14:textId="6BFB486B" w:rsidR="007F662A" w:rsidRPr="009A58DC" w:rsidRDefault="007F662A" w:rsidP="009A58DC">
      <w:pPr>
        <w:widowControl/>
        <w:pBdr>
          <w:bottom w:val="single" w:sz="4" w:space="6" w:color="E0E0E0"/>
        </w:pBdr>
        <w:spacing w:before="450" w:after="225"/>
        <w:jc w:val="left"/>
        <w:outlineLvl w:val="1"/>
        <w:rPr>
          <w:rFonts w:ascii="微软雅黑" w:hAnsi="微软雅黑" w:cs="宋体" w:hint="eastAsia"/>
          <w:b/>
          <w:bCs/>
          <w:color w:val="2C974B"/>
          <w:kern w:val="0"/>
          <w:sz w:val="33"/>
          <w:szCs w:val="33"/>
          <w14:ligatures w14:val="none"/>
        </w:rPr>
      </w:pPr>
      <w:r w:rsidRPr="007F662A">
        <w:rPr>
          <w:rFonts w:ascii="微软雅黑" w:hAnsi="微软雅黑" w:cs="宋体"/>
          <w:b/>
          <w:bCs/>
          <w:color w:val="2C974B"/>
          <w:kern w:val="0"/>
          <w:sz w:val="33"/>
          <w:szCs w:val="33"/>
          <w14:ligatures w14:val="none"/>
        </w:rPr>
        <w:lastRenderedPageBreak/>
        <w:t>五、产能预估与效益分析</w:t>
      </w:r>
    </w:p>
    <w:p w14:paraId="3F98E41F" w14:textId="67DEE991" w:rsidR="007F662A" w:rsidRPr="00244815" w:rsidRDefault="007F662A" w:rsidP="007F662A">
      <w:pPr>
        <w:rPr>
          <w:rFonts w:ascii="微软雅黑" w:hAnsi="微软雅黑" w:hint="eastAsia"/>
        </w:rPr>
      </w:pPr>
      <w:r w:rsidRPr="00244815">
        <w:rPr>
          <w:rFonts w:ascii="微软雅黑" w:hAnsi="微软雅黑"/>
          <w:noProof/>
        </w:rPr>
        <w:drawing>
          <wp:inline distT="0" distB="0" distL="0" distR="0" wp14:anchorId="6650506B" wp14:editId="56C1E79A">
            <wp:extent cx="5274310" cy="3869248"/>
            <wp:effectExtent l="0" t="0" r="2540" b="0"/>
            <wp:docPr id="1710055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55031" name=""/>
                    <pic:cNvPicPr/>
                  </pic:nvPicPr>
                  <pic:blipFill rotWithShape="1">
                    <a:blip r:embed="rId11"/>
                    <a:srcRect t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00A22" w14:textId="77777777" w:rsidR="00244815" w:rsidRPr="00244815" w:rsidRDefault="00244815" w:rsidP="00244815">
      <w:pPr>
        <w:widowControl/>
        <w:pBdr>
          <w:bottom w:val="single" w:sz="4" w:space="6" w:color="E0E0E0"/>
        </w:pBdr>
        <w:shd w:val="clear" w:color="auto" w:fill="FFFFFF"/>
        <w:spacing w:before="450" w:after="225"/>
        <w:jc w:val="left"/>
        <w:outlineLvl w:val="1"/>
        <w:rPr>
          <w:rFonts w:ascii="微软雅黑" w:hAnsi="微软雅黑" w:cs="Segoe UI" w:hint="eastAsia"/>
          <w:b/>
          <w:bCs/>
          <w:color w:val="2C974B"/>
          <w:kern w:val="0"/>
          <w:sz w:val="33"/>
          <w:szCs w:val="33"/>
          <w14:ligatures w14:val="none"/>
        </w:rPr>
      </w:pPr>
      <w:r w:rsidRPr="00244815">
        <w:rPr>
          <w:rFonts w:ascii="微软雅黑" w:hAnsi="微软雅黑" w:cs="Segoe UI"/>
          <w:b/>
          <w:bCs/>
          <w:color w:val="2C974B"/>
          <w:kern w:val="0"/>
          <w:sz w:val="33"/>
          <w:szCs w:val="33"/>
          <w14:ligatures w14:val="none"/>
        </w:rPr>
        <w:t>六、落地性总结</w:t>
      </w:r>
    </w:p>
    <w:p w14:paraId="24418834" w14:textId="77777777" w:rsidR="00244815" w:rsidRPr="00244815" w:rsidRDefault="00244815" w:rsidP="00244815">
      <w:pPr>
        <w:widowControl/>
        <w:shd w:val="clear" w:color="auto" w:fill="F5F9F7"/>
        <w:jc w:val="left"/>
        <w:rPr>
          <w:rFonts w:ascii="微软雅黑" w:hAnsi="微软雅黑" w:cs="Segoe UI" w:hint="eastAsia"/>
          <w:color w:val="333333"/>
          <w:kern w:val="0"/>
          <w:sz w:val="27"/>
          <w:szCs w:val="27"/>
          <w14:ligatures w14:val="none"/>
        </w:rPr>
      </w:pPr>
      <w:r w:rsidRPr="00244815">
        <w:rPr>
          <w:rFonts w:ascii="微软雅黑" w:hAnsi="微软雅黑" w:cs="Segoe UI"/>
          <w:color w:val="333333"/>
          <w:kern w:val="0"/>
          <w:sz w:val="27"/>
          <w:szCs w:val="27"/>
          <w14:ligatures w14:val="none"/>
        </w:rPr>
        <w:t>本方案采用全系列成熟量产产品，所有参数均来自厂家官方手册与实际工程案例；集成方式严格贴合项目"模块化、层级化"设计，施工流程与建筑主体工期衔接顺畅，无额外技术壁垒。从产能预估来看，系统可稳定实现年均14万kWh以上清洁发电，兼顾环保效益与经济回报，完全具备工程落地条件。</w:t>
      </w:r>
    </w:p>
    <w:p w14:paraId="5964F51F" w14:textId="77777777" w:rsidR="007F662A" w:rsidRPr="00244815" w:rsidRDefault="007F662A" w:rsidP="007F662A">
      <w:pPr>
        <w:rPr>
          <w:rFonts w:ascii="微软雅黑" w:hAnsi="微软雅黑" w:hint="eastAsia"/>
        </w:rPr>
      </w:pPr>
    </w:p>
    <w:sectPr w:rsidR="007F662A" w:rsidRPr="00244815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1CFF6" w14:textId="77777777" w:rsidR="00C16CE6" w:rsidRDefault="00C16CE6" w:rsidP="00937F2E">
      <w:r>
        <w:separator/>
      </w:r>
    </w:p>
  </w:endnote>
  <w:endnote w:type="continuationSeparator" w:id="0">
    <w:p w14:paraId="36F6951C" w14:textId="77777777" w:rsidR="00C16CE6" w:rsidRDefault="00C16CE6" w:rsidP="0093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6091406"/>
      <w:docPartObj>
        <w:docPartGallery w:val="Page Numbers (Bottom of Page)"/>
        <w:docPartUnique/>
      </w:docPartObj>
    </w:sdtPr>
    <w:sdtContent>
      <w:p w14:paraId="6C0A70AA" w14:textId="3B562D89" w:rsidR="00937F2E" w:rsidRDefault="00937F2E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C61A7FA" w14:textId="77777777" w:rsidR="00937F2E" w:rsidRDefault="00937F2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89F59" w14:textId="77777777" w:rsidR="00C16CE6" w:rsidRDefault="00C16CE6" w:rsidP="00937F2E">
      <w:r>
        <w:separator/>
      </w:r>
    </w:p>
  </w:footnote>
  <w:footnote w:type="continuationSeparator" w:id="0">
    <w:p w14:paraId="510509A2" w14:textId="77777777" w:rsidR="00C16CE6" w:rsidRDefault="00C16CE6" w:rsidP="00937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C1CB1"/>
    <w:multiLevelType w:val="multilevel"/>
    <w:tmpl w:val="ADCC1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81449A"/>
    <w:multiLevelType w:val="multilevel"/>
    <w:tmpl w:val="14BA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D80255"/>
    <w:multiLevelType w:val="multilevel"/>
    <w:tmpl w:val="6848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038975">
    <w:abstractNumId w:val="1"/>
  </w:num>
  <w:num w:numId="2" w16cid:durableId="955404510">
    <w:abstractNumId w:val="2"/>
  </w:num>
  <w:num w:numId="3" w16cid:durableId="630329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E4E"/>
    <w:rsid w:val="00026729"/>
    <w:rsid w:val="001300D4"/>
    <w:rsid w:val="00244815"/>
    <w:rsid w:val="00264E4E"/>
    <w:rsid w:val="002E7819"/>
    <w:rsid w:val="002F73B7"/>
    <w:rsid w:val="00427C84"/>
    <w:rsid w:val="0049025D"/>
    <w:rsid w:val="005261B6"/>
    <w:rsid w:val="007F662A"/>
    <w:rsid w:val="00937F2E"/>
    <w:rsid w:val="009A58DC"/>
    <w:rsid w:val="00C134F6"/>
    <w:rsid w:val="00C15911"/>
    <w:rsid w:val="00C16CE6"/>
    <w:rsid w:val="00C905BA"/>
    <w:rsid w:val="00C943D5"/>
    <w:rsid w:val="00D1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24413D"/>
  <w15:chartTrackingRefBased/>
  <w15:docId w15:val="{5AD9E4CD-4B71-4178-BDB0-74CA754A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微软雅黑" w:hAnsi="Times New Roman" w:cstheme="minorBidi"/>
        <w:kern w:val="2"/>
        <w:sz w:val="24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64E4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4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4E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4E4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4E4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4E4E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4E4E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4E4E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4E4E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64E4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64E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64E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64E4E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64E4E"/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64E4E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64E4E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64E4E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64E4E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64E4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64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4E4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64E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64E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64E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4E4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4E4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4E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64E4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64E4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37F2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37F2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37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37F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 yu</dc:creator>
  <cp:keywords/>
  <dc:description/>
  <cp:lastModifiedBy>xing yu</cp:lastModifiedBy>
  <cp:revision>6</cp:revision>
  <dcterms:created xsi:type="dcterms:W3CDTF">2025-12-31T06:22:00Z</dcterms:created>
  <dcterms:modified xsi:type="dcterms:W3CDTF">2025-12-31T06:41:00Z</dcterms:modified>
</cp:coreProperties>
</file>