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8280EE">
      <w:pPr>
        <w:spacing w:before="234"/>
        <w:ind w:left="790" w:right="790"/>
        <w:jc w:val="center"/>
        <w:rPr>
          <w:rFonts w:ascii="Times New Roman" w:hAnsi="Times New Roman" w:eastAsia="宋体"/>
        </w:rPr>
      </w:pPr>
    </w:p>
    <w:p w14:paraId="41991EC0">
      <w:pPr>
        <w:spacing w:before="234"/>
        <w:ind w:left="790" w:right="790"/>
        <w:jc w:val="center"/>
        <w:rPr>
          <w:rFonts w:ascii="Times New Roman" w:hAnsi="Times New Roman" w:eastAsia="宋体"/>
        </w:rPr>
      </w:pPr>
    </w:p>
    <w:p w14:paraId="2A3D81FE">
      <w:pPr>
        <w:spacing w:before="234"/>
        <w:ind w:left="790" w:right="790"/>
        <w:jc w:val="center"/>
        <w:rPr>
          <w:rFonts w:ascii="Times New Roman" w:hAnsi="Times New Roman" w:eastAsia="宋体"/>
        </w:rPr>
      </w:pPr>
    </w:p>
    <w:p w14:paraId="14B0C9BD">
      <w:pPr>
        <w:spacing w:before="234"/>
        <w:ind w:left="790" w:right="790"/>
        <w:jc w:val="center"/>
        <w:rPr>
          <w:rFonts w:ascii="Times New Roman" w:hAnsi="Times New Roman" w:eastAsia="宋体" w:cstheme="majorEastAsia"/>
          <w:sz w:val="36"/>
        </w:rPr>
      </w:pPr>
      <w:r>
        <w:rPr>
          <w:rFonts w:hint="eastAsia" w:ascii="Times New Roman" w:hAnsi="Times New Roman" w:eastAsia="宋体" w:cstheme="majorEastAsia"/>
          <w:sz w:val="36"/>
        </w:rPr>
        <w:t>从集成到消解：低碳视角下的层次化建筑系统设计</w:t>
      </w:r>
    </w:p>
    <w:p w14:paraId="5D3810AE">
      <w:pPr>
        <w:pStyle w:val="6"/>
        <w:ind w:firstLine="400"/>
        <w:rPr>
          <w:rFonts w:ascii="Times New Roman" w:hAnsi="Times New Roman"/>
          <w:sz w:val="20"/>
        </w:rPr>
      </w:pPr>
    </w:p>
    <w:p w14:paraId="4AE4C5D1">
      <w:pPr>
        <w:ind w:right="790"/>
        <w:rPr>
          <w:rFonts w:ascii="Times New Roman" w:hAnsi="Times New Roman" w:eastAsia="宋体"/>
          <w:b/>
          <w:bCs/>
          <w:sz w:val="48"/>
        </w:rPr>
      </w:pPr>
    </w:p>
    <w:p w14:paraId="4585BE43">
      <w:pPr>
        <w:ind w:right="790"/>
        <w:jc w:val="center"/>
        <w:rPr>
          <w:rFonts w:ascii="Times New Roman" w:hAnsi="Times New Roman" w:eastAsia="宋体"/>
          <w:b/>
          <w:bCs/>
          <w:sz w:val="48"/>
        </w:rPr>
      </w:pPr>
      <w:r>
        <w:rPr>
          <w:rFonts w:hint="eastAsia" w:ascii="Times New Roman" w:hAnsi="Times New Roman" w:eastAsia="宋体"/>
          <w:b/>
          <w:bCs/>
          <w:sz w:val="48"/>
        </w:rPr>
        <w:t xml:space="preserve"> </w:t>
      </w:r>
      <w:r>
        <w:rPr>
          <w:rFonts w:ascii="Times New Roman" w:hAnsi="Times New Roman" w:eastAsia="宋体"/>
          <w:b/>
          <w:bCs/>
          <w:sz w:val="48"/>
        </w:rPr>
        <w:t xml:space="preserve">   </w:t>
      </w:r>
      <w:r>
        <w:rPr>
          <w:rFonts w:hint="eastAsia" w:ascii="Times New Roman" w:hAnsi="Times New Roman" w:eastAsia="宋体"/>
          <w:b/>
          <w:bCs/>
          <w:sz w:val="48"/>
        </w:rPr>
        <w:t>非传统水源利用报告</w:t>
      </w:r>
    </w:p>
    <w:p w14:paraId="36E0FA4A">
      <w:pPr>
        <w:widowControl/>
        <w:jc w:val="left"/>
        <w:rPr>
          <w:rFonts w:ascii="Times New Roman" w:hAnsi="Times New Roman" w:eastAsia="宋体"/>
        </w:rPr>
      </w:pPr>
    </w:p>
    <w:p w14:paraId="6FEEBC93">
      <w:pPr>
        <w:widowControl/>
        <w:jc w:val="left"/>
        <w:rPr>
          <w:rFonts w:ascii="Times New Roman" w:hAnsi="Times New Roman" w:eastAsia="宋体"/>
        </w:rPr>
      </w:pPr>
    </w:p>
    <w:p w14:paraId="34C54F7C">
      <w:pPr>
        <w:widowControl/>
        <w:jc w:val="left"/>
        <w:rPr>
          <w:rFonts w:ascii="Times New Roman" w:hAnsi="Times New Roman" w:eastAsia="宋体"/>
        </w:rPr>
      </w:pPr>
    </w:p>
    <w:p w14:paraId="10871A19">
      <w:pPr>
        <w:widowControl/>
        <w:jc w:val="left"/>
        <w:rPr>
          <w:rFonts w:ascii="Times New Roman" w:hAnsi="Times New Roman" w:eastAsia="宋体"/>
        </w:rPr>
      </w:pPr>
    </w:p>
    <w:p w14:paraId="2A00E097">
      <w:pPr>
        <w:widowControl/>
        <w:jc w:val="left"/>
        <w:rPr>
          <w:rFonts w:ascii="Times New Roman" w:hAnsi="Times New Roman" w:eastAsia="宋体"/>
        </w:rPr>
      </w:pPr>
    </w:p>
    <w:p w14:paraId="7EB4BA79">
      <w:pPr>
        <w:widowControl/>
        <w:jc w:val="left"/>
        <w:rPr>
          <w:rFonts w:ascii="Times New Roman" w:hAnsi="Times New Roman" w:eastAsia="宋体"/>
        </w:rPr>
      </w:pPr>
    </w:p>
    <w:p w14:paraId="7662A7F1">
      <w:pPr>
        <w:widowControl/>
        <w:jc w:val="left"/>
        <w:rPr>
          <w:rFonts w:ascii="Times New Roman" w:hAnsi="Times New Roman" w:eastAsia="宋体"/>
        </w:rPr>
      </w:pPr>
    </w:p>
    <w:p w14:paraId="41D1CFA6">
      <w:pPr>
        <w:widowControl/>
        <w:jc w:val="left"/>
        <w:rPr>
          <w:rFonts w:ascii="Times New Roman" w:hAnsi="Times New Roman" w:eastAsia="宋体"/>
        </w:rPr>
      </w:pPr>
    </w:p>
    <w:p w14:paraId="2917D9F7">
      <w:pPr>
        <w:widowControl/>
        <w:jc w:val="left"/>
        <w:rPr>
          <w:rFonts w:ascii="Times New Roman" w:hAnsi="Times New Roman" w:eastAsia="宋体"/>
        </w:rPr>
      </w:pPr>
    </w:p>
    <w:p w14:paraId="13119739">
      <w:pPr>
        <w:widowControl/>
        <w:jc w:val="left"/>
        <w:rPr>
          <w:rFonts w:ascii="Times New Roman" w:hAnsi="Times New Roman" w:eastAsia="宋体"/>
        </w:rPr>
      </w:pPr>
    </w:p>
    <w:p w14:paraId="24E32BEB">
      <w:pPr>
        <w:widowControl/>
        <w:jc w:val="left"/>
        <w:rPr>
          <w:rFonts w:ascii="Times New Roman" w:hAnsi="Times New Roman" w:eastAsia="宋体"/>
        </w:rPr>
      </w:pPr>
    </w:p>
    <w:p w14:paraId="3A18916A">
      <w:pPr>
        <w:widowControl/>
        <w:jc w:val="left"/>
        <w:rPr>
          <w:rFonts w:ascii="Times New Roman" w:hAnsi="Times New Roman" w:eastAsia="宋体"/>
        </w:rPr>
      </w:pPr>
    </w:p>
    <w:p w14:paraId="5B8F6E71">
      <w:pPr>
        <w:widowControl/>
        <w:jc w:val="left"/>
        <w:rPr>
          <w:rFonts w:ascii="Times New Roman" w:hAnsi="Times New Roman" w:eastAsia="宋体"/>
        </w:rPr>
      </w:pPr>
    </w:p>
    <w:p w14:paraId="288CC436">
      <w:pPr>
        <w:widowControl/>
        <w:jc w:val="left"/>
        <w:rPr>
          <w:rFonts w:ascii="Times New Roman" w:hAnsi="Times New Roman" w:eastAsia="宋体"/>
        </w:rPr>
      </w:pPr>
    </w:p>
    <w:p w14:paraId="3B501952">
      <w:pPr>
        <w:widowControl/>
        <w:jc w:val="left"/>
        <w:rPr>
          <w:rFonts w:ascii="Times New Roman" w:hAnsi="Times New Roman" w:eastAsia="宋体"/>
        </w:rPr>
      </w:pPr>
    </w:p>
    <w:p w14:paraId="0AE82021">
      <w:pPr>
        <w:widowControl/>
        <w:jc w:val="left"/>
        <w:rPr>
          <w:rFonts w:ascii="Times New Roman" w:hAnsi="Times New Roman" w:eastAsia="宋体"/>
        </w:rPr>
      </w:pPr>
    </w:p>
    <w:p w14:paraId="06255474">
      <w:pPr>
        <w:widowControl/>
        <w:jc w:val="left"/>
        <w:rPr>
          <w:rFonts w:ascii="Times New Roman" w:hAnsi="Times New Roman" w:eastAsia="宋体"/>
        </w:rPr>
      </w:pPr>
    </w:p>
    <w:p w14:paraId="61259E09">
      <w:pPr>
        <w:widowControl/>
        <w:jc w:val="left"/>
        <w:rPr>
          <w:rFonts w:ascii="Times New Roman" w:hAnsi="Times New Roman" w:eastAsia="宋体"/>
        </w:rPr>
      </w:pPr>
    </w:p>
    <w:p w14:paraId="7B2CAC70">
      <w:pPr>
        <w:widowControl/>
        <w:jc w:val="left"/>
        <w:rPr>
          <w:rFonts w:ascii="Times New Roman" w:hAnsi="Times New Roman" w:eastAsia="宋体"/>
        </w:rPr>
      </w:pPr>
    </w:p>
    <w:p w14:paraId="4B505D5A">
      <w:pPr>
        <w:pStyle w:val="6"/>
        <w:ind w:firstLine="3000" w:firstLineChars="1000"/>
        <w:rPr>
          <w:rFonts w:hint="eastAsia" w:ascii="Times New Roman" w:hAnsi="Times New Roman"/>
          <w:sz w:val="30"/>
          <w:szCs w:val="30"/>
        </w:rPr>
      </w:pPr>
      <w:r>
        <w:rPr>
          <w:rFonts w:hint="eastAsia" w:ascii="Times New Roman" w:hAnsi="Times New Roman"/>
          <w:sz w:val="30"/>
          <w:szCs w:val="30"/>
          <w:lang w:val="en-US" w:eastAsia="zh-CN"/>
        </w:rPr>
        <w:t>沈阳大学</w:t>
      </w:r>
    </w:p>
    <w:p w14:paraId="6AA6ED89">
      <w:pPr>
        <w:pStyle w:val="6"/>
        <w:ind w:firstLine="3000" w:firstLineChars="1000"/>
        <w:rPr>
          <w:rFonts w:ascii="Times New Roman" w:hAnsi="Times New Roman" w:eastAsia="宋体"/>
        </w:rPr>
      </w:pPr>
      <w:r>
        <w:rPr>
          <w:rFonts w:ascii="Times New Roman" w:hAnsi="Times New Roman" w:eastAsia="宋体" w:cs="Times New Roman"/>
          <w:sz w:val="30"/>
          <w:szCs w:val="30"/>
        </w:rPr>
        <w:t>202</w:t>
      </w:r>
      <w:r>
        <w:rPr>
          <w:rFonts w:hint="eastAsia" w:ascii="Times New Roman" w:hAnsi="Times New Roman" w:cs="Times New Roman"/>
          <w:sz w:val="30"/>
          <w:szCs w:val="30"/>
          <w:lang w:val="en-US" w:eastAsia="zh-CN"/>
        </w:rPr>
        <w:t>6</w:t>
      </w:r>
      <w:r>
        <w:rPr>
          <w:rFonts w:ascii="Times New Roman" w:hAnsi="Times New Roman" w:eastAsia="宋体" w:cs="Times New Roman"/>
          <w:sz w:val="30"/>
          <w:szCs w:val="30"/>
        </w:rPr>
        <w:t>-0</w:t>
      </w:r>
      <w:r>
        <w:rPr>
          <w:rFonts w:hint="eastAsia" w:ascii="Times New Roman" w:hAnsi="Times New Roman" w:cs="Times New Roman"/>
          <w:sz w:val="30"/>
          <w:szCs w:val="30"/>
          <w:lang w:val="en-US" w:eastAsia="zh-CN"/>
        </w:rPr>
        <w:t>3</w:t>
      </w:r>
      <w:bookmarkStart w:id="1" w:name="_GoBack"/>
      <w:bookmarkEnd w:id="1"/>
      <w:r>
        <w:rPr>
          <w:rFonts w:ascii="Times New Roman" w:hAnsi="Times New Roman" w:eastAsia="宋体" w:cs="Times New Roman"/>
          <w:sz w:val="30"/>
          <w:szCs w:val="30"/>
        </w:rPr>
        <w:t>-11</w:t>
      </w:r>
      <w:r>
        <w:rPr>
          <w:rFonts w:ascii="Times New Roman" w:hAnsi="Times New Roman" w:eastAsia="宋体"/>
        </w:rP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610776284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20F37FA2">
          <w:pPr>
            <w:pStyle w:val="25"/>
            <w:jc w:val="center"/>
          </w:pPr>
          <w:r>
            <w:rPr>
              <w:lang w:val="zh-CN"/>
            </w:rPr>
            <w:t>目录</w:t>
          </w:r>
        </w:p>
        <w:p w14:paraId="38741BAE">
          <w:pPr>
            <w:pStyle w:val="10"/>
            <w:tabs>
              <w:tab w:val="left" w:pos="840"/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"_Toc62030775"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一、</w:t>
          </w:r>
          <w:r>
            <w:tab/>
          </w:r>
          <w:r>
            <w:rPr>
              <w:rStyle w:val="16"/>
              <w:rFonts w:ascii="Times New Roman" w:hAnsi="Times New Roman" w:eastAsia="宋体"/>
            </w:rPr>
            <w:t>项目概况</w:t>
          </w:r>
          <w:r>
            <w:tab/>
          </w:r>
          <w:r>
            <w:fldChar w:fldCharType="begin"/>
          </w:r>
          <w:r>
            <w:instrText xml:space="preserve"> PAGEREF _Toc62030775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5956B408">
          <w:pPr>
            <w:pStyle w:val="10"/>
            <w:tabs>
              <w:tab w:val="left" w:pos="840"/>
              <w:tab w:val="right" w:leader="dot" w:pos="8296"/>
            </w:tabs>
          </w:pPr>
          <w:r>
            <w:fldChar w:fldCharType="begin"/>
          </w:r>
          <w:r>
            <w:instrText xml:space="preserve"> HYPERLINK \l "_Toc62030776"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二、</w:t>
          </w:r>
          <w:r>
            <w:tab/>
          </w:r>
          <w:r>
            <w:rPr>
              <w:rStyle w:val="16"/>
              <w:rFonts w:ascii="Times New Roman" w:hAnsi="Times New Roman" w:eastAsia="宋体"/>
            </w:rPr>
            <w:t>非传统水源利用方案</w:t>
          </w:r>
          <w:r>
            <w:tab/>
          </w:r>
          <w:r>
            <w:fldChar w:fldCharType="begin"/>
          </w:r>
          <w:r>
            <w:instrText xml:space="preserve"> PAGEREF _Toc62030776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E457E3B">
          <w:pPr>
            <w:pStyle w:val="10"/>
            <w:tabs>
              <w:tab w:val="left" w:pos="840"/>
              <w:tab w:val="right" w:leader="dot" w:pos="8296"/>
            </w:tabs>
          </w:pPr>
          <w:r>
            <w:fldChar w:fldCharType="begin"/>
          </w:r>
          <w:r>
            <w:instrText xml:space="preserve"> HYPERLINK \l "_Toc62030777"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三、</w:t>
          </w:r>
          <w:r>
            <w:tab/>
          </w:r>
          <w:r>
            <w:rPr>
              <w:rStyle w:val="16"/>
              <w:rFonts w:ascii="Times New Roman" w:hAnsi="Times New Roman" w:eastAsia="宋体"/>
            </w:rPr>
            <w:t>用水量估算</w:t>
          </w:r>
          <w:r>
            <w:tab/>
          </w:r>
          <w:r>
            <w:fldChar w:fldCharType="begin"/>
          </w:r>
          <w:r>
            <w:instrText xml:space="preserve"> PAGEREF _Toc62030777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7B0889C7">
          <w:pPr>
            <w:pStyle w:val="10"/>
            <w:tabs>
              <w:tab w:val="left" w:pos="840"/>
              <w:tab w:val="right" w:leader="dot" w:pos="8296"/>
            </w:tabs>
          </w:pPr>
          <w:r>
            <w:fldChar w:fldCharType="begin"/>
          </w:r>
          <w:r>
            <w:instrText xml:space="preserve"> HYPERLINK \l "_Toc62030778"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四、</w:t>
          </w:r>
          <w:r>
            <w:tab/>
          </w:r>
          <w:r>
            <w:rPr>
              <w:rStyle w:val="16"/>
              <w:rFonts w:ascii="Times New Roman" w:hAnsi="Times New Roman" w:eastAsia="宋体"/>
            </w:rPr>
            <w:t>雨水利用量计算</w:t>
          </w:r>
          <w:r>
            <w:tab/>
          </w:r>
          <w:r>
            <w:fldChar w:fldCharType="begin"/>
          </w:r>
          <w:r>
            <w:instrText xml:space="preserve"> PAGEREF _Toc62030778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119A8A50"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"_Toc62030779"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4.1非传统水源收集量计算</w:t>
          </w:r>
          <w:r>
            <w:tab/>
          </w:r>
          <w:r>
            <w:fldChar w:fldCharType="begin"/>
          </w:r>
          <w:r>
            <w:instrText xml:space="preserve"> PAGEREF _Toc62030779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70B8CBA4"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"_Toc62030780"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4.2非传统水源需水量计算</w:t>
          </w:r>
          <w:r>
            <w:tab/>
          </w:r>
          <w:r>
            <w:fldChar w:fldCharType="begin"/>
          </w:r>
          <w:r>
            <w:instrText xml:space="preserve"> PAGEREF _Toc62030780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7C6955B3"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"_Toc62030781"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4.3水量平衡计算</w:t>
          </w:r>
          <w:r>
            <w:tab/>
          </w:r>
          <w:r>
            <w:fldChar w:fldCharType="begin"/>
          </w:r>
          <w:r>
            <w:instrText xml:space="preserve"> PAGEREF _Toc62030781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7009AF6E"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"_Toc62030782"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4.4非传统水源利用率计算</w:t>
          </w:r>
          <w:r>
            <w:tab/>
          </w:r>
          <w:r>
            <w:fldChar w:fldCharType="begin"/>
          </w:r>
          <w:r>
            <w:instrText xml:space="preserve"> PAGEREF _Toc62030782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3E9C1575">
          <w:pPr>
            <w:pStyle w:val="10"/>
            <w:tabs>
              <w:tab w:val="left" w:pos="840"/>
              <w:tab w:val="right" w:leader="dot" w:pos="8296"/>
            </w:tabs>
          </w:pPr>
          <w:r>
            <w:fldChar w:fldCharType="begin"/>
          </w:r>
          <w:r>
            <w:instrText xml:space="preserve"> HYPERLINK \l "_Toc62030783"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五、</w:t>
          </w:r>
          <w:r>
            <w:tab/>
          </w:r>
          <w:r>
            <w:rPr>
              <w:rStyle w:val="16"/>
              <w:rFonts w:ascii="Times New Roman" w:hAnsi="Times New Roman" w:eastAsia="宋体"/>
            </w:rPr>
            <w:t>净化系统设计</w:t>
          </w:r>
          <w:r>
            <w:tab/>
          </w:r>
          <w:r>
            <w:fldChar w:fldCharType="begin"/>
          </w:r>
          <w:r>
            <w:instrText xml:space="preserve"> PAGEREF _Toc62030783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04F00525"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"_Toc62030784"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5.1处理目标</w:t>
          </w:r>
          <w:r>
            <w:tab/>
          </w:r>
          <w:r>
            <w:fldChar w:fldCharType="begin"/>
          </w:r>
          <w:r>
            <w:instrText xml:space="preserve"> PAGEREF _Toc62030784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0702158A"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"_Toc62030785"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5.2工艺流程</w:t>
          </w:r>
          <w:r>
            <w:tab/>
          </w:r>
          <w:r>
            <w:fldChar w:fldCharType="begin"/>
          </w:r>
          <w:r>
            <w:instrText xml:space="preserve"> PAGEREF _Toc62030785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76011257"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"_Toc62030786"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5.3安全措施</w:t>
          </w:r>
          <w:r>
            <w:tab/>
          </w:r>
          <w:r>
            <w:fldChar w:fldCharType="begin"/>
          </w:r>
          <w:r>
            <w:instrText xml:space="preserve"> PAGEREF _Toc62030786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22299130">
          <w:pPr>
            <w:pStyle w:val="10"/>
            <w:tabs>
              <w:tab w:val="left" w:pos="840"/>
              <w:tab w:val="right" w:leader="dot" w:pos="8296"/>
            </w:tabs>
          </w:pPr>
          <w:r>
            <w:fldChar w:fldCharType="begin"/>
          </w:r>
          <w:r>
            <w:instrText xml:space="preserve"> HYPERLINK \l "_Toc62030787"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六、</w:t>
          </w:r>
          <w:r>
            <w:tab/>
          </w:r>
          <w:r>
            <w:rPr>
              <w:rStyle w:val="16"/>
              <w:rFonts w:ascii="Times New Roman" w:hAnsi="Times New Roman" w:eastAsia="宋体"/>
            </w:rPr>
            <w:t>非传统水源利用经济指标及效益分析</w:t>
          </w:r>
          <w:r>
            <w:tab/>
          </w:r>
          <w:r>
            <w:fldChar w:fldCharType="begin"/>
          </w:r>
          <w:r>
            <w:instrText xml:space="preserve"> PAGEREF _Toc62030787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2FB3A266"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"_Toc62030788"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6.1经济效益分析</w:t>
          </w:r>
          <w:r>
            <w:tab/>
          </w:r>
          <w:r>
            <w:fldChar w:fldCharType="begin"/>
          </w:r>
          <w:r>
            <w:instrText xml:space="preserve"> PAGEREF _Toc62030788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1969F33B"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"_Toc62030789"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6.2环境效益分析</w:t>
          </w:r>
          <w:r>
            <w:tab/>
          </w:r>
          <w:r>
            <w:fldChar w:fldCharType="begin"/>
          </w:r>
          <w:r>
            <w:instrText xml:space="preserve"> PAGEREF _Toc62030789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10A4DF8D">
          <w:pPr>
            <w:pStyle w:val="10"/>
            <w:tabs>
              <w:tab w:val="left" w:pos="840"/>
              <w:tab w:val="right" w:leader="dot" w:pos="8296"/>
            </w:tabs>
          </w:pPr>
          <w:r>
            <w:fldChar w:fldCharType="begin"/>
          </w:r>
          <w:r>
            <w:instrText xml:space="preserve"> HYPERLINK \l "_Toc62030790" </w:instrText>
          </w:r>
          <w:r>
            <w:fldChar w:fldCharType="separate"/>
          </w:r>
          <w:r>
            <w:rPr>
              <w:rStyle w:val="16"/>
              <w:rFonts w:ascii="Times New Roman" w:hAnsi="Times New Roman" w:eastAsia="宋体"/>
            </w:rPr>
            <w:t>七、</w:t>
          </w:r>
          <w:r>
            <w:tab/>
          </w:r>
          <w:r>
            <w:rPr>
              <w:rStyle w:val="16"/>
              <w:rFonts w:ascii="Times New Roman" w:hAnsi="Times New Roman" w:eastAsia="宋体"/>
            </w:rPr>
            <w:t>结论</w:t>
          </w:r>
          <w:r>
            <w:tab/>
          </w:r>
          <w:r>
            <w:fldChar w:fldCharType="begin"/>
          </w:r>
          <w:r>
            <w:instrText xml:space="preserve"> PAGEREF _Toc62030790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2020D1C8">
          <w:r>
            <w:rPr>
              <w:b/>
              <w:bCs/>
              <w:lang w:val="zh-CN"/>
            </w:rPr>
            <w:fldChar w:fldCharType="end"/>
          </w:r>
        </w:p>
      </w:sdtContent>
    </w:sdt>
    <w:p w14:paraId="261CA9EB">
      <w:pPr>
        <w:widowControl/>
        <w:jc w:val="left"/>
        <w:rPr>
          <w:rFonts w:ascii="Times New Roman" w:hAnsi="Times New Roman" w:eastAsia="宋体"/>
        </w:rPr>
      </w:pPr>
    </w:p>
    <w:p w14:paraId="34AF620E">
      <w:pPr>
        <w:widowControl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br w:type="page"/>
      </w:r>
    </w:p>
    <w:p w14:paraId="47518A14">
      <w:pPr>
        <w:pStyle w:val="2"/>
        <w:numPr>
          <w:ilvl w:val="0"/>
          <w:numId w:val="1"/>
        </w:numPr>
        <w:rPr>
          <w:rFonts w:ascii="Times New Roman" w:hAnsi="Times New Roman" w:eastAsia="宋体"/>
          <w:sz w:val="32"/>
          <w:szCs w:val="32"/>
        </w:rPr>
      </w:pPr>
      <w:bookmarkStart w:id="0" w:name="_Toc62030775"/>
      <w:r>
        <w:rPr>
          <w:rFonts w:hint="eastAsia" w:ascii="Times New Roman" w:hAnsi="Times New Roman" w:eastAsia="宋体"/>
          <w:sz w:val="32"/>
          <w:szCs w:val="32"/>
        </w:rPr>
        <w:t>项目概况</w:t>
      </w:r>
      <w:bookmarkEnd w:id="0"/>
    </w:p>
    <w:p w14:paraId="6F8D3150">
      <w:pPr>
        <w:spacing w:line="360" w:lineRule="auto"/>
        <w:ind w:firstLine="420" w:firstLineChars="200"/>
        <w:jc w:val="left"/>
        <w:rPr>
          <w:rFonts w:hint="eastAsia" w:ascii="Times New Roman" w:hAnsi="Times New Roman" w:eastAsia="宋体"/>
        </w:rPr>
      </w:pPr>
      <w:r>
        <w:rPr>
          <w:rFonts w:hint="eastAsia" w:ascii="Times New Roman" w:hAnsi="Times New Roman" w:eastAsia="宋体"/>
        </w:rPr>
        <w:t>从集成到消解：低碳视角下的层次化建筑系统设计（以下简称本项目）位于辽宁-沈阳，由沈阳大学作为建设单位和设计单位。本项目为公共建筑，总建筑面积为地上2400.13㎡，无地下部分，建筑层数为地上2层，建筑高度为</w:t>
      </w:r>
      <w:r>
        <w:rPr>
          <w:rFonts w:hint="eastAsia" w:ascii="Times New Roman" w:hAnsi="Times New Roman" w:eastAsia="宋体"/>
          <w:lang w:val="en-US" w:eastAsia="zh-CN"/>
        </w:rPr>
        <w:t>14</w:t>
      </w:r>
      <w:r>
        <w:rPr>
          <w:rFonts w:hint="eastAsia" w:ascii="Times New Roman" w:hAnsi="Times New Roman" w:eastAsia="宋体"/>
        </w:rPr>
        <w:t>米。</w:t>
      </w:r>
    </w:p>
    <w:p w14:paraId="2CE453DB">
      <w:pPr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drawing>
          <wp:inline distT="0" distB="0" distL="114300" distR="114300">
            <wp:extent cx="5266690" cy="3511550"/>
            <wp:effectExtent l="0" t="0" r="3810" b="635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13C86">
      <w:pPr>
        <w:pStyle w:val="19"/>
        <w:ind w:firstLine="0" w:firstLineChars="0"/>
        <w:jc w:val="center"/>
        <w:rPr>
          <w:rFonts w:ascii="Times New Roman" w:hAnsi="Times New Roman" w:eastAsia="宋体"/>
          <w:sz w:val="18"/>
          <w:szCs w:val="18"/>
        </w:rPr>
      </w:pPr>
      <w:r>
        <w:rPr>
          <w:rFonts w:hint="eastAsia" w:ascii="Times New Roman" w:hAnsi="Times New Roman" w:eastAsia="宋体"/>
          <w:sz w:val="18"/>
          <w:szCs w:val="18"/>
        </w:rPr>
        <w:t>项目效果图</w:t>
      </w:r>
    </w:p>
    <w:p w14:paraId="79DBBF50">
      <w:pPr>
        <w:pStyle w:val="19"/>
        <w:ind w:firstLine="0" w:firstLineChars="0"/>
        <w:jc w:val="center"/>
        <w:rPr>
          <w:rFonts w:ascii="Times New Roman" w:hAnsi="Times New Roman" w:eastAsia="宋体"/>
          <w:sz w:val="18"/>
          <w:szCs w:val="18"/>
        </w:rPr>
      </w:pPr>
    </w:p>
    <w:p w14:paraId="7F49FF61">
      <w:pPr>
        <w:pStyle w:val="2"/>
        <w:numPr>
          <w:ilvl w:val="0"/>
          <w:numId w:val="1"/>
        </w:numPr>
        <w:rPr>
          <w:rFonts w:hint="eastAsia" w:ascii="Times New Roman" w:hAnsi="Times New Roman" w:eastAsia="宋体"/>
          <w:sz w:val="32"/>
          <w:szCs w:val="32"/>
        </w:rPr>
      </w:pPr>
      <w:r>
        <w:rPr>
          <w:rFonts w:hint="eastAsia" w:ascii="Times New Roman" w:hAnsi="Times New Roman" w:eastAsia="宋体"/>
          <w:sz w:val="32"/>
          <w:szCs w:val="32"/>
        </w:rPr>
        <w:t>非传统水源利用方案</w:t>
      </w:r>
    </w:p>
    <w:p w14:paraId="5B90B091">
      <w:pPr>
        <w:spacing w:line="360" w:lineRule="auto"/>
        <w:ind w:firstLine="420" w:firstLineChars="200"/>
        <w:jc w:val="left"/>
        <w:rPr>
          <w:rFonts w:hint="eastAsia" w:ascii="Times New Roman" w:hAnsi="Times New Roman" w:eastAsia="宋体"/>
        </w:rPr>
      </w:pPr>
      <w:r>
        <w:rPr>
          <w:rFonts w:hint="eastAsia" w:ascii="Times New Roman" w:hAnsi="Times New Roman" w:eastAsia="宋体"/>
        </w:rPr>
        <w:t>本项目设置雨水回收利用系统。收集屋面及部分硬化地面雨水，经初期弃流、过滤、消毒处理后，主要用于场地绿化灌溉、道路浇洒及停车场冲洗等杂用水，以节约市政自来水用量，提高非传统水源利用率。</w:t>
      </w:r>
    </w:p>
    <w:p w14:paraId="4E173332">
      <w:pPr>
        <w:pStyle w:val="2"/>
        <w:numPr>
          <w:ilvl w:val="0"/>
          <w:numId w:val="1"/>
        </w:numPr>
        <w:rPr>
          <w:rFonts w:hint="eastAsia" w:ascii="Times New Roman" w:hAnsi="Times New Roman" w:eastAsia="宋体"/>
          <w:sz w:val="32"/>
          <w:szCs w:val="32"/>
        </w:rPr>
      </w:pPr>
      <w:r>
        <w:rPr>
          <w:rFonts w:hint="eastAsia" w:ascii="Times New Roman" w:hAnsi="Times New Roman" w:eastAsia="宋体"/>
          <w:sz w:val="32"/>
          <w:szCs w:val="32"/>
        </w:rPr>
        <w:t>用水量估算</w:t>
      </w:r>
    </w:p>
    <w:p w14:paraId="21BD5E85">
      <w:pPr>
        <w:spacing w:line="360" w:lineRule="auto"/>
        <w:ind w:firstLine="420" w:firstLineChars="200"/>
        <w:jc w:val="left"/>
        <w:rPr>
          <w:rFonts w:hint="eastAsia" w:ascii="Times New Roman" w:hAnsi="Times New Roman" w:eastAsia="宋体"/>
        </w:rPr>
      </w:pPr>
      <w:r>
        <w:rPr>
          <w:rFonts w:hint="eastAsia" w:ascii="Times New Roman" w:hAnsi="Times New Roman" w:eastAsia="宋体"/>
        </w:rPr>
        <w:t>根据项目总平面图及相关设计资料，估算各类用水量如下：</w:t>
      </w:r>
    </w:p>
    <w:p w14:paraId="0D1468F2">
      <w:pPr>
        <w:jc w:val="center"/>
        <w:rPr>
          <w:rFonts w:hint="eastAsia" w:ascii="Times New Roman" w:hAnsi="Times New Roman" w:eastAsia="宋体"/>
        </w:rPr>
      </w:pPr>
      <w:r>
        <w:rPr>
          <w:rFonts w:hint="eastAsia" w:ascii="Times New Roman" w:hAnsi="Times New Roman" w:eastAsia="宋体"/>
        </w:rPr>
        <w:t>表 3.1-1 各类用水量估算</w:t>
      </w:r>
    </w:p>
    <w:tbl>
      <w:tblPr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40"/>
        <w:gridCol w:w="503"/>
        <w:gridCol w:w="503"/>
        <w:gridCol w:w="927"/>
        <w:gridCol w:w="1046"/>
        <w:gridCol w:w="1140"/>
        <w:gridCol w:w="563"/>
        <w:gridCol w:w="1631"/>
        <w:gridCol w:w="928"/>
      </w:tblGrid>
      <w:tr w14:paraId="732BD1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6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80391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用水类别</w:t>
            </w:r>
          </w:p>
        </w:tc>
        <w:tc>
          <w:tcPr>
            <w:tcW w:w="3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6C8F1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数量</w:t>
            </w:r>
          </w:p>
        </w:tc>
        <w:tc>
          <w:tcPr>
            <w:tcW w:w="3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B6D6E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单位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B6A0D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用水定额</w:t>
            </w:r>
          </w:p>
        </w:tc>
        <w:tc>
          <w:tcPr>
            <w:tcW w:w="6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43082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单位</w:t>
            </w:r>
          </w:p>
        </w:tc>
        <w:tc>
          <w:tcPr>
            <w:tcW w:w="6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6F545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用水频率</w:t>
            </w:r>
          </w:p>
        </w:tc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DD52C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单位</w:t>
            </w:r>
          </w:p>
        </w:tc>
        <w:tc>
          <w:tcPr>
            <w:tcW w:w="9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5D6A3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年用水量（m³）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928BA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备注</w:t>
            </w:r>
          </w:p>
        </w:tc>
      </w:tr>
      <w:tr w14:paraId="400F06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4A1268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绿化灌溉</w:t>
            </w:r>
          </w:p>
        </w:tc>
        <w:tc>
          <w:tcPr>
            <w:tcW w:w="3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B31E6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800</w:t>
            </w:r>
          </w:p>
        </w:tc>
        <w:tc>
          <w:tcPr>
            <w:tcW w:w="3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FEF0E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㎡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D70CB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0.002</w:t>
            </w:r>
          </w:p>
        </w:tc>
        <w:tc>
          <w:tcPr>
            <w:tcW w:w="6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C33B9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m³/㎡·次</w:t>
            </w:r>
          </w:p>
        </w:tc>
        <w:tc>
          <w:tcPr>
            <w:tcW w:w="6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76EA1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详见逐月表</w:t>
            </w:r>
          </w:p>
        </w:tc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86938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次/月</w:t>
            </w:r>
          </w:p>
        </w:tc>
        <w:tc>
          <w:tcPr>
            <w:tcW w:w="9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40BD0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224.0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31AB6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综合</w:t>
            </w:r>
          </w:p>
        </w:tc>
      </w:tr>
      <w:tr w14:paraId="4B04D2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C3D83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道路冲洗</w:t>
            </w:r>
          </w:p>
        </w:tc>
        <w:tc>
          <w:tcPr>
            <w:tcW w:w="3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9FCBE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500</w:t>
            </w:r>
          </w:p>
        </w:tc>
        <w:tc>
          <w:tcPr>
            <w:tcW w:w="3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1AAFB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㎡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3EFA7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1.0</w:t>
            </w:r>
          </w:p>
        </w:tc>
        <w:tc>
          <w:tcPr>
            <w:tcW w:w="6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4E705E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L/㎡·次</w:t>
            </w:r>
          </w:p>
        </w:tc>
        <w:tc>
          <w:tcPr>
            <w:tcW w:w="6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830E1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24</w:t>
            </w:r>
          </w:p>
        </w:tc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45084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次/年</w:t>
            </w:r>
          </w:p>
        </w:tc>
        <w:tc>
          <w:tcPr>
            <w:tcW w:w="9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9BAF2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12.0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4A2FE2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每月2次</w:t>
            </w:r>
          </w:p>
        </w:tc>
      </w:tr>
      <w:tr w14:paraId="616C6C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493D22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停车场冲洗</w:t>
            </w:r>
          </w:p>
        </w:tc>
        <w:tc>
          <w:tcPr>
            <w:tcW w:w="3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1BCD5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200</w:t>
            </w:r>
          </w:p>
        </w:tc>
        <w:tc>
          <w:tcPr>
            <w:tcW w:w="3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CE424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㎡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806F6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3.0</w:t>
            </w:r>
          </w:p>
        </w:tc>
        <w:tc>
          <w:tcPr>
            <w:tcW w:w="6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67D25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L/㎡·次</w:t>
            </w:r>
          </w:p>
        </w:tc>
        <w:tc>
          <w:tcPr>
            <w:tcW w:w="6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A5955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24</w:t>
            </w:r>
          </w:p>
        </w:tc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86BE3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次/年</w:t>
            </w:r>
          </w:p>
        </w:tc>
        <w:tc>
          <w:tcPr>
            <w:tcW w:w="9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499ED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14.4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7CFDB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每月2次</w:t>
            </w:r>
          </w:p>
        </w:tc>
      </w:tr>
      <w:tr w14:paraId="59C340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70553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杂用水合计</w:t>
            </w:r>
          </w:p>
        </w:tc>
        <w:tc>
          <w:tcPr>
            <w:tcW w:w="3765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622BB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250.4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23D31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</w:p>
        </w:tc>
      </w:tr>
      <w:tr w14:paraId="6B0757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13EC6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总用水合计</w:t>
            </w:r>
          </w:p>
        </w:tc>
        <w:tc>
          <w:tcPr>
            <w:tcW w:w="3765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E6128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250.4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66ADF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</w:p>
        </w:tc>
      </w:tr>
    </w:tbl>
    <w:p w14:paraId="0D2D4CB6">
      <w:pPr>
        <w:pStyle w:val="2"/>
        <w:numPr>
          <w:ilvl w:val="0"/>
          <w:numId w:val="1"/>
        </w:numPr>
        <w:rPr>
          <w:rFonts w:hint="eastAsia" w:ascii="Times New Roman" w:hAnsi="Times New Roman" w:eastAsia="宋体"/>
          <w:sz w:val="32"/>
          <w:szCs w:val="32"/>
        </w:rPr>
      </w:pPr>
      <w:r>
        <w:rPr>
          <w:rFonts w:hint="eastAsia" w:ascii="Times New Roman" w:hAnsi="Times New Roman" w:eastAsia="宋体"/>
          <w:sz w:val="32"/>
          <w:szCs w:val="32"/>
        </w:rPr>
        <w:t>雨水利用量计算</w:t>
      </w:r>
    </w:p>
    <w:p w14:paraId="1C564D2E">
      <w:pPr>
        <w:pStyle w:val="4"/>
        <w:rPr>
          <w:rFonts w:hint="eastAsia" w:ascii="Times New Roman" w:hAnsi="Times New Roman" w:eastAsia="宋体"/>
          <w:sz w:val="30"/>
          <w:szCs w:val="30"/>
        </w:rPr>
      </w:pPr>
      <w:r>
        <w:rPr>
          <w:rFonts w:hint="eastAsia" w:ascii="Times New Roman" w:hAnsi="Times New Roman" w:eastAsia="宋体"/>
          <w:sz w:val="30"/>
          <w:szCs w:val="30"/>
        </w:rPr>
        <w:t>4.1 非传统水源收集量计算</w:t>
      </w:r>
    </w:p>
    <w:p w14:paraId="3E8D4696">
      <w:pPr>
        <w:pStyle w:val="5"/>
        <w:rPr>
          <w:rFonts w:hint="eastAsia" w:ascii="Times New Roman" w:hAnsi="Times New Roman" w:eastAsia="宋体"/>
        </w:rPr>
      </w:pPr>
      <w:r>
        <w:rPr>
          <w:rFonts w:hint="eastAsia" w:ascii="Times New Roman" w:hAnsi="Times New Roman" w:eastAsia="宋体"/>
        </w:rPr>
        <w:t>4.1.1 蓄水池容积的确定</w:t>
      </w:r>
    </w:p>
    <w:p w14:paraId="0BB1170A">
      <w:pPr>
        <w:spacing w:line="360" w:lineRule="auto"/>
        <w:ind w:firstLine="420" w:firstLineChars="200"/>
        <w:jc w:val="left"/>
        <w:rPr>
          <w:rFonts w:hint="eastAsia" w:ascii="Times New Roman" w:hAnsi="Times New Roman" w:eastAsia="宋体"/>
        </w:rPr>
      </w:pPr>
      <w:r>
        <w:rPr>
          <w:rFonts w:hint="eastAsia" w:ascii="Times New Roman" w:hAnsi="Times New Roman" w:eastAsia="宋体"/>
        </w:rPr>
        <w:t>根据水量平衡分析，本项目雨水蓄水池的有效容积确定为 80 m³。</w:t>
      </w:r>
    </w:p>
    <w:p w14:paraId="721AE773">
      <w:pPr>
        <w:pStyle w:val="5"/>
        <w:rPr>
          <w:rFonts w:hint="eastAsia" w:ascii="Times New Roman" w:hAnsi="Times New Roman" w:eastAsia="宋体"/>
        </w:rPr>
      </w:pPr>
      <w:r>
        <w:rPr>
          <w:rFonts w:hint="eastAsia" w:ascii="Times New Roman" w:hAnsi="Times New Roman" w:eastAsia="宋体"/>
        </w:rPr>
        <w:t>4.1.2 汇水面积分析</w:t>
      </w:r>
    </w:p>
    <w:p w14:paraId="2B4EC4A0">
      <w:pPr>
        <w:spacing w:line="360" w:lineRule="auto"/>
        <w:ind w:firstLine="420" w:firstLineChars="200"/>
        <w:jc w:val="left"/>
        <w:rPr>
          <w:rFonts w:hint="eastAsia" w:ascii="Times New Roman" w:hAnsi="Times New Roman" w:eastAsia="宋体"/>
        </w:rPr>
      </w:pPr>
      <w:r>
        <w:rPr>
          <w:rFonts w:hint="eastAsia" w:ascii="Times New Roman" w:hAnsi="Times New Roman" w:eastAsia="宋体"/>
        </w:rPr>
        <w:t>本项目收集塔楼屋面及部分硬化地面雨水。屋面面积约1200㎡，道路及停车场等硬化地面收集面积约700㎡，总收集面积约为 1900 ㎡。综合径流系数按加权平均计算，取 0.82。</w:t>
      </w:r>
    </w:p>
    <w:p w14:paraId="7B04324F">
      <w:pPr>
        <w:pStyle w:val="5"/>
        <w:rPr>
          <w:rFonts w:hint="eastAsia" w:ascii="Times New Roman" w:hAnsi="Times New Roman" w:eastAsia="宋体"/>
        </w:rPr>
      </w:pPr>
      <w:r>
        <w:rPr>
          <w:rFonts w:hint="eastAsia" w:ascii="Times New Roman" w:hAnsi="Times New Roman" w:eastAsia="宋体"/>
        </w:rPr>
        <w:t>4.1.3 雨水收集量计算</w:t>
      </w:r>
    </w:p>
    <w:p w14:paraId="40AD9AB8">
      <w:pPr>
        <w:spacing w:line="360" w:lineRule="auto"/>
        <w:ind w:firstLine="420" w:firstLineChars="200"/>
        <w:jc w:val="left"/>
        <w:rPr>
          <w:rFonts w:hint="eastAsia" w:ascii="Times New Roman" w:hAnsi="Times New Roman" w:eastAsia="宋体"/>
        </w:rPr>
      </w:pPr>
      <w:r>
        <w:rPr>
          <w:rFonts w:hint="eastAsia" w:ascii="Times New Roman" w:hAnsi="Times New Roman" w:eastAsia="宋体"/>
        </w:rPr>
        <w:t>沈阳地区典型年月降雨量数据依据《中国建筑热环境分析专用气象数据集》及当地气象资料确定。根据《民用建筑节水设计标准》（GB 50555-2010），可收集的雨水量按下式计算：</w:t>
      </w:r>
    </w:p>
    <w:p w14:paraId="2090F1CD">
      <w:pPr>
        <w:spacing w:line="360" w:lineRule="auto"/>
        <w:ind w:firstLine="420" w:firstLineChars="200"/>
        <w:jc w:val="left"/>
        <w:rPr>
          <w:rFonts w:hint="eastAsia" w:ascii="Times New Roman" w:hAnsi="Times New Roman" w:eastAsia="宋体"/>
        </w:rPr>
      </w:pPr>
      <w:r>
        <w:rPr>
          <w:rFonts w:hint="eastAsia" w:ascii="Times New Roman" w:hAnsi="Times New Roman" w:eastAsia="宋体"/>
        </w:rPr>
        <w:t>$$Q_{雨水} = 0.7 \times 10\psi_{c}F \times H$$</w:t>
      </w:r>
    </w:p>
    <w:p w14:paraId="54E4628C">
      <w:pPr>
        <w:spacing w:line="360" w:lineRule="auto"/>
        <w:ind w:firstLine="420" w:firstLineChars="200"/>
        <w:jc w:val="left"/>
        <w:rPr>
          <w:rFonts w:hint="eastAsia" w:ascii="Times New Roman" w:hAnsi="Times New Roman" w:eastAsia="宋体"/>
        </w:rPr>
      </w:pPr>
      <w:r>
        <w:rPr>
          <w:rFonts w:hint="eastAsia" w:ascii="Times New Roman" w:hAnsi="Times New Roman" w:eastAsia="宋体"/>
        </w:rPr>
        <w:t>经计算，各月雨水收集量如下表所示：</w:t>
      </w:r>
    </w:p>
    <w:p w14:paraId="39E52777">
      <w:pPr>
        <w:jc w:val="center"/>
        <w:rPr>
          <w:rFonts w:hint="eastAsia" w:ascii="Times New Roman" w:hAnsi="Times New Roman" w:eastAsia="宋体"/>
        </w:rPr>
      </w:pPr>
      <w:r>
        <w:rPr>
          <w:rFonts w:hint="eastAsia" w:ascii="Times New Roman" w:hAnsi="Times New Roman" w:eastAsia="宋体"/>
        </w:rPr>
        <w:t>表 4.1.3-1 雨水收集量逐月计算表</w:t>
      </w:r>
    </w:p>
    <w:tbl>
      <w:tblPr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17"/>
        <w:gridCol w:w="3287"/>
        <w:gridCol w:w="3679"/>
      </w:tblGrid>
      <w:tr w14:paraId="5EC616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106D1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月份</w:t>
            </w:r>
          </w:p>
        </w:tc>
        <w:tc>
          <w:tcPr>
            <w:tcW w:w="19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9C9C7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降雨量 (mm)</w:t>
            </w:r>
          </w:p>
        </w:tc>
        <w:tc>
          <w:tcPr>
            <w:tcW w:w="2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10C91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总收集量 (m³)</w:t>
            </w:r>
          </w:p>
        </w:tc>
      </w:tr>
      <w:tr w14:paraId="024E7C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545AC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1月</w:t>
            </w:r>
          </w:p>
        </w:tc>
        <w:tc>
          <w:tcPr>
            <w:tcW w:w="19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9C086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5.0</w:t>
            </w:r>
          </w:p>
        </w:tc>
        <w:tc>
          <w:tcPr>
            <w:tcW w:w="2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C8CFE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5.45</w:t>
            </w:r>
          </w:p>
        </w:tc>
      </w:tr>
      <w:tr w14:paraId="4C9E19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6CE71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2月</w:t>
            </w:r>
          </w:p>
        </w:tc>
        <w:tc>
          <w:tcPr>
            <w:tcW w:w="19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2F9E2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6.0</w:t>
            </w:r>
          </w:p>
        </w:tc>
        <w:tc>
          <w:tcPr>
            <w:tcW w:w="2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436FD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6.54</w:t>
            </w:r>
          </w:p>
        </w:tc>
      </w:tr>
      <w:tr w14:paraId="0594DD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4AD096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3月</w:t>
            </w:r>
          </w:p>
        </w:tc>
        <w:tc>
          <w:tcPr>
            <w:tcW w:w="19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4B03FE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12.0</w:t>
            </w:r>
          </w:p>
        </w:tc>
        <w:tc>
          <w:tcPr>
            <w:tcW w:w="2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422F20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13.09</w:t>
            </w:r>
          </w:p>
        </w:tc>
      </w:tr>
      <w:tr w14:paraId="781116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87BAC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4月</w:t>
            </w:r>
          </w:p>
        </w:tc>
        <w:tc>
          <w:tcPr>
            <w:tcW w:w="19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4B569D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30.0</w:t>
            </w:r>
          </w:p>
        </w:tc>
        <w:tc>
          <w:tcPr>
            <w:tcW w:w="2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441AF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32.72</w:t>
            </w:r>
          </w:p>
        </w:tc>
      </w:tr>
      <w:tr w14:paraId="4DDC15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D32B6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5月</w:t>
            </w:r>
          </w:p>
        </w:tc>
        <w:tc>
          <w:tcPr>
            <w:tcW w:w="19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BE5B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50.0</w:t>
            </w:r>
          </w:p>
        </w:tc>
        <w:tc>
          <w:tcPr>
            <w:tcW w:w="2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A1714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54.53</w:t>
            </w:r>
          </w:p>
        </w:tc>
      </w:tr>
      <w:tr w14:paraId="50B9BF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6F51F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6月</w:t>
            </w:r>
          </w:p>
        </w:tc>
        <w:tc>
          <w:tcPr>
            <w:tcW w:w="19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C3F96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80.0</w:t>
            </w:r>
          </w:p>
        </w:tc>
        <w:tc>
          <w:tcPr>
            <w:tcW w:w="2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2A481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87.25</w:t>
            </w:r>
          </w:p>
        </w:tc>
      </w:tr>
      <w:tr w14:paraId="7C4F32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F6446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7月</w:t>
            </w:r>
          </w:p>
        </w:tc>
        <w:tc>
          <w:tcPr>
            <w:tcW w:w="19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915B9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150.0</w:t>
            </w:r>
          </w:p>
        </w:tc>
        <w:tc>
          <w:tcPr>
            <w:tcW w:w="2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70DF7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163.59</w:t>
            </w:r>
          </w:p>
        </w:tc>
      </w:tr>
      <w:tr w14:paraId="44CA0A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15EE6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8月</w:t>
            </w:r>
          </w:p>
        </w:tc>
        <w:tc>
          <w:tcPr>
            <w:tcW w:w="19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E2BB4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140.0</w:t>
            </w:r>
          </w:p>
        </w:tc>
        <w:tc>
          <w:tcPr>
            <w:tcW w:w="2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3C273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152.68</w:t>
            </w:r>
          </w:p>
        </w:tc>
      </w:tr>
      <w:tr w14:paraId="19688A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E8482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9月</w:t>
            </w:r>
          </w:p>
        </w:tc>
        <w:tc>
          <w:tcPr>
            <w:tcW w:w="19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D86CD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60.0</w:t>
            </w:r>
          </w:p>
        </w:tc>
        <w:tc>
          <w:tcPr>
            <w:tcW w:w="2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0B146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65.44</w:t>
            </w:r>
          </w:p>
        </w:tc>
      </w:tr>
      <w:tr w14:paraId="11D7F6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4AD1D7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10月</w:t>
            </w:r>
          </w:p>
        </w:tc>
        <w:tc>
          <w:tcPr>
            <w:tcW w:w="19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410B0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30.0</w:t>
            </w:r>
          </w:p>
        </w:tc>
        <w:tc>
          <w:tcPr>
            <w:tcW w:w="2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AEBF6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32.72</w:t>
            </w:r>
          </w:p>
        </w:tc>
      </w:tr>
      <w:tr w14:paraId="593F90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64045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11月</w:t>
            </w:r>
          </w:p>
        </w:tc>
        <w:tc>
          <w:tcPr>
            <w:tcW w:w="19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C4B92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15.0</w:t>
            </w:r>
          </w:p>
        </w:tc>
        <w:tc>
          <w:tcPr>
            <w:tcW w:w="2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8FBB6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16.36</w:t>
            </w:r>
          </w:p>
        </w:tc>
      </w:tr>
      <w:tr w14:paraId="60DE77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4DDC72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12月</w:t>
            </w:r>
          </w:p>
        </w:tc>
        <w:tc>
          <w:tcPr>
            <w:tcW w:w="19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19970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8.0</w:t>
            </w:r>
          </w:p>
        </w:tc>
        <w:tc>
          <w:tcPr>
            <w:tcW w:w="2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70F31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8.72</w:t>
            </w:r>
          </w:p>
        </w:tc>
      </w:tr>
      <w:tr w14:paraId="40AB20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42A38D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合计</w:t>
            </w:r>
          </w:p>
        </w:tc>
        <w:tc>
          <w:tcPr>
            <w:tcW w:w="19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B6E53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586.0</w:t>
            </w:r>
          </w:p>
        </w:tc>
        <w:tc>
          <w:tcPr>
            <w:tcW w:w="2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AF7E8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639.09</w:t>
            </w:r>
          </w:p>
        </w:tc>
      </w:tr>
    </w:tbl>
    <w:p w14:paraId="487619F0">
      <w:pPr>
        <w:pStyle w:val="4"/>
        <w:rPr>
          <w:rFonts w:hint="eastAsia" w:ascii="Times New Roman" w:hAnsi="Times New Roman" w:eastAsia="宋体"/>
          <w:sz w:val="30"/>
          <w:szCs w:val="30"/>
        </w:rPr>
      </w:pPr>
      <w:r>
        <w:rPr>
          <w:rFonts w:hint="eastAsia" w:ascii="Times New Roman" w:hAnsi="Times New Roman" w:eastAsia="宋体"/>
          <w:sz w:val="30"/>
          <w:szCs w:val="30"/>
        </w:rPr>
        <w:t>4.2 非传统水源需水量计算</w:t>
      </w:r>
    </w:p>
    <w:p w14:paraId="1BA9D449">
      <w:pPr>
        <w:jc w:val="center"/>
        <w:rPr>
          <w:rFonts w:hint="eastAsia" w:ascii="Times New Roman" w:hAnsi="Times New Roman" w:eastAsia="宋体"/>
        </w:rPr>
      </w:pPr>
      <w:r>
        <w:rPr>
          <w:rFonts w:hint="eastAsia" w:ascii="Times New Roman" w:hAnsi="Times New Roman" w:eastAsia="宋体"/>
        </w:rPr>
        <w:t>表 4.2-1 杂用水量逐月计算表</w:t>
      </w:r>
    </w:p>
    <w:tbl>
      <w:tblPr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12"/>
        <w:gridCol w:w="899"/>
        <w:gridCol w:w="1277"/>
        <w:gridCol w:w="899"/>
        <w:gridCol w:w="1277"/>
        <w:gridCol w:w="995"/>
        <w:gridCol w:w="1415"/>
        <w:gridCol w:w="1009"/>
      </w:tblGrid>
      <w:tr w14:paraId="00F40F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36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39B76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月份</w:t>
            </w:r>
          </w:p>
        </w:tc>
        <w:tc>
          <w:tcPr>
            <w:tcW w:w="129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25AB6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绿化浇灌用水量(m³)</w:t>
            </w:r>
          </w:p>
        </w:tc>
        <w:tc>
          <w:tcPr>
            <w:tcW w:w="129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4F8685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道路冲洗用水量(m³)</w:t>
            </w:r>
          </w:p>
        </w:tc>
        <w:tc>
          <w:tcPr>
            <w:tcW w:w="143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D8146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停车场冲洗用水量(m³)</w:t>
            </w:r>
          </w:p>
        </w:tc>
        <w:tc>
          <w:tcPr>
            <w:tcW w:w="60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ADF71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合计(m³)</w:t>
            </w:r>
          </w:p>
        </w:tc>
      </w:tr>
      <w:tr w14:paraId="281B47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36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19006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F7416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次数</w:t>
            </w:r>
          </w:p>
        </w:tc>
        <w:tc>
          <w:tcPr>
            <w:tcW w:w="7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D70B5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用水量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EECD8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次数</w:t>
            </w:r>
          </w:p>
        </w:tc>
        <w:tc>
          <w:tcPr>
            <w:tcW w:w="7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94558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用水量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CDFD9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次数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66EEC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用水量</w:t>
            </w:r>
          </w:p>
        </w:tc>
        <w:tc>
          <w:tcPr>
            <w:tcW w:w="60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4AA13C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</w:p>
        </w:tc>
      </w:tr>
      <w:tr w14:paraId="29F206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6C198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1月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097CE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7</w:t>
            </w:r>
          </w:p>
        </w:tc>
        <w:tc>
          <w:tcPr>
            <w:tcW w:w="7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125F6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11.2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F1BEE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</w:t>
            </w:r>
          </w:p>
        </w:tc>
        <w:tc>
          <w:tcPr>
            <w:tcW w:w="7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ECB05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1.0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FE454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AC526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1.2</w:t>
            </w:r>
          </w:p>
        </w:tc>
        <w:tc>
          <w:tcPr>
            <w:tcW w:w="6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F357C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13.4</w:t>
            </w:r>
          </w:p>
        </w:tc>
      </w:tr>
      <w:tr w14:paraId="5D736E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CFA58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2月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E6D4C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8</w:t>
            </w:r>
          </w:p>
        </w:tc>
        <w:tc>
          <w:tcPr>
            <w:tcW w:w="7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C9DFA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12.8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D7F74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</w:t>
            </w:r>
          </w:p>
        </w:tc>
        <w:tc>
          <w:tcPr>
            <w:tcW w:w="7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D7EE1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1.0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622EF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889B9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1.2</w:t>
            </w:r>
          </w:p>
        </w:tc>
        <w:tc>
          <w:tcPr>
            <w:tcW w:w="6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AA337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15.0</w:t>
            </w:r>
          </w:p>
        </w:tc>
      </w:tr>
      <w:tr w14:paraId="588C49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99F94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3月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568E5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10</w:t>
            </w:r>
          </w:p>
        </w:tc>
        <w:tc>
          <w:tcPr>
            <w:tcW w:w="7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5F16F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16.0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76226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</w:t>
            </w:r>
          </w:p>
        </w:tc>
        <w:tc>
          <w:tcPr>
            <w:tcW w:w="7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B34AC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1.0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EDDFE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0F12B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1.2</w:t>
            </w:r>
          </w:p>
        </w:tc>
        <w:tc>
          <w:tcPr>
            <w:tcW w:w="6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2A37C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18.2</w:t>
            </w:r>
          </w:p>
        </w:tc>
      </w:tr>
      <w:tr w14:paraId="5ACE99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D5C67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4月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54219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10</w:t>
            </w:r>
          </w:p>
        </w:tc>
        <w:tc>
          <w:tcPr>
            <w:tcW w:w="7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04564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16.0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C7DEB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</w:t>
            </w:r>
          </w:p>
        </w:tc>
        <w:tc>
          <w:tcPr>
            <w:tcW w:w="7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4C559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1.0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A7EEB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FE8F2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1.2</w:t>
            </w:r>
          </w:p>
        </w:tc>
        <w:tc>
          <w:tcPr>
            <w:tcW w:w="6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BA84B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18.2</w:t>
            </w:r>
          </w:p>
        </w:tc>
      </w:tr>
      <w:tr w14:paraId="770751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4A933E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5月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18625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14</w:t>
            </w:r>
          </w:p>
        </w:tc>
        <w:tc>
          <w:tcPr>
            <w:tcW w:w="7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4022FE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22.4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4A0E49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</w:t>
            </w:r>
          </w:p>
        </w:tc>
        <w:tc>
          <w:tcPr>
            <w:tcW w:w="7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4AA86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1.0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57253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10D4D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1.2</w:t>
            </w:r>
          </w:p>
        </w:tc>
        <w:tc>
          <w:tcPr>
            <w:tcW w:w="6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05D48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24.6</w:t>
            </w:r>
          </w:p>
        </w:tc>
      </w:tr>
      <w:tr w14:paraId="2E293B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4D014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6月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69935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15</w:t>
            </w:r>
          </w:p>
        </w:tc>
        <w:tc>
          <w:tcPr>
            <w:tcW w:w="7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0AE15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24.0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226D0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</w:t>
            </w:r>
          </w:p>
        </w:tc>
        <w:tc>
          <w:tcPr>
            <w:tcW w:w="7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0D771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1.0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F82C3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8694F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1.2</w:t>
            </w:r>
          </w:p>
        </w:tc>
        <w:tc>
          <w:tcPr>
            <w:tcW w:w="6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A3C12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26.2</w:t>
            </w:r>
          </w:p>
        </w:tc>
      </w:tr>
      <w:tr w14:paraId="4301D0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4D3DD0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7月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85168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16</w:t>
            </w:r>
          </w:p>
        </w:tc>
        <w:tc>
          <w:tcPr>
            <w:tcW w:w="7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9CE83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25.6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BE54F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</w:t>
            </w:r>
          </w:p>
        </w:tc>
        <w:tc>
          <w:tcPr>
            <w:tcW w:w="7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CBB52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1.0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9E0BD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4D65B4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1.2</w:t>
            </w:r>
          </w:p>
        </w:tc>
        <w:tc>
          <w:tcPr>
            <w:tcW w:w="6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5D55E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27.8</w:t>
            </w:r>
          </w:p>
        </w:tc>
      </w:tr>
      <w:tr w14:paraId="690A42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6E8BC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8月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44D4D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17</w:t>
            </w:r>
          </w:p>
        </w:tc>
        <w:tc>
          <w:tcPr>
            <w:tcW w:w="7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23C96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27.2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CECB2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</w:t>
            </w:r>
          </w:p>
        </w:tc>
        <w:tc>
          <w:tcPr>
            <w:tcW w:w="7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242EB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1.0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A72D2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4E9260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1.2</w:t>
            </w:r>
          </w:p>
        </w:tc>
        <w:tc>
          <w:tcPr>
            <w:tcW w:w="6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39C40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29.4</w:t>
            </w:r>
          </w:p>
        </w:tc>
      </w:tr>
      <w:tr w14:paraId="626DBD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E0E36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9月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4A5E9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15</w:t>
            </w:r>
          </w:p>
        </w:tc>
        <w:tc>
          <w:tcPr>
            <w:tcW w:w="7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45B15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24.0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1066C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</w:t>
            </w:r>
          </w:p>
        </w:tc>
        <w:tc>
          <w:tcPr>
            <w:tcW w:w="7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1086B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1.0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A3E7C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09B5E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1.2</w:t>
            </w:r>
          </w:p>
        </w:tc>
        <w:tc>
          <w:tcPr>
            <w:tcW w:w="6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8F59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26.2</w:t>
            </w:r>
          </w:p>
        </w:tc>
      </w:tr>
      <w:tr w14:paraId="574662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FBEBB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10月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DFC2B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12</w:t>
            </w:r>
          </w:p>
        </w:tc>
        <w:tc>
          <w:tcPr>
            <w:tcW w:w="7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B6E54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19.2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29D04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</w:t>
            </w:r>
          </w:p>
        </w:tc>
        <w:tc>
          <w:tcPr>
            <w:tcW w:w="7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C8894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1.0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E47D1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495BE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1.2</w:t>
            </w:r>
          </w:p>
        </w:tc>
        <w:tc>
          <w:tcPr>
            <w:tcW w:w="6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3C62A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21.4</w:t>
            </w:r>
          </w:p>
        </w:tc>
      </w:tr>
      <w:tr w14:paraId="050422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B3961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11月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23C6C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9</w:t>
            </w:r>
          </w:p>
        </w:tc>
        <w:tc>
          <w:tcPr>
            <w:tcW w:w="7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6A0F0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14.4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9C241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</w:t>
            </w:r>
          </w:p>
        </w:tc>
        <w:tc>
          <w:tcPr>
            <w:tcW w:w="7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A290E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1.0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EAACD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8B6D3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1.2</w:t>
            </w:r>
          </w:p>
        </w:tc>
        <w:tc>
          <w:tcPr>
            <w:tcW w:w="6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2B95A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16.6</w:t>
            </w:r>
          </w:p>
        </w:tc>
      </w:tr>
      <w:tr w14:paraId="6C8A59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4508D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12月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2373B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7</w:t>
            </w:r>
          </w:p>
        </w:tc>
        <w:tc>
          <w:tcPr>
            <w:tcW w:w="7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49345C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11.2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80F0D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</w:t>
            </w:r>
          </w:p>
        </w:tc>
        <w:tc>
          <w:tcPr>
            <w:tcW w:w="7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50C2F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1.0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565D0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</w:t>
            </w: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6D426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1.2</w:t>
            </w:r>
          </w:p>
        </w:tc>
        <w:tc>
          <w:tcPr>
            <w:tcW w:w="6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29FED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13.4</w:t>
            </w:r>
          </w:p>
        </w:tc>
      </w:tr>
      <w:tr w14:paraId="5A32E7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21AA9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合计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51FA9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</w:p>
        </w:tc>
        <w:tc>
          <w:tcPr>
            <w:tcW w:w="7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E14E0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224.0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4DA8E3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</w:p>
        </w:tc>
        <w:tc>
          <w:tcPr>
            <w:tcW w:w="7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10950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12.0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A9555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</w:p>
        </w:tc>
        <w:tc>
          <w:tcPr>
            <w:tcW w:w="8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9BD14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14.4</w:t>
            </w:r>
          </w:p>
        </w:tc>
        <w:tc>
          <w:tcPr>
            <w:tcW w:w="6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F52C4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250.4</w:t>
            </w:r>
          </w:p>
        </w:tc>
      </w:tr>
    </w:tbl>
    <w:p w14:paraId="79F6382C">
      <w:pPr>
        <w:pStyle w:val="4"/>
        <w:rPr>
          <w:rFonts w:hint="eastAsia" w:ascii="Times New Roman" w:hAnsi="Times New Roman" w:eastAsia="宋体"/>
          <w:sz w:val="30"/>
          <w:szCs w:val="30"/>
        </w:rPr>
      </w:pPr>
      <w:r>
        <w:rPr>
          <w:rFonts w:hint="eastAsia" w:ascii="Times New Roman" w:hAnsi="Times New Roman" w:eastAsia="宋体"/>
          <w:sz w:val="30"/>
          <w:szCs w:val="30"/>
        </w:rPr>
        <w:t>4.3 水量平衡计算</w:t>
      </w:r>
    </w:p>
    <w:p w14:paraId="2157EDE1">
      <w:pPr>
        <w:jc w:val="center"/>
        <w:rPr>
          <w:rFonts w:hint="eastAsia" w:ascii="Times New Roman" w:hAnsi="Times New Roman" w:eastAsia="宋体"/>
        </w:rPr>
      </w:pPr>
      <w:r>
        <w:rPr>
          <w:rFonts w:hint="eastAsia" w:ascii="Times New Roman" w:hAnsi="Times New Roman" w:eastAsia="宋体"/>
        </w:rPr>
        <w:t>表 4.3.1-1 逐月雨水水平衡计算表（蓄水池有效容积80 m³）</w:t>
      </w:r>
    </w:p>
    <w:tbl>
      <w:tblPr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07"/>
        <w:gridCol w:w="1694"/>
        <w:gridCol w:w="1925"/>
        <w:gridCol w:w="1694"/>
        <w:gridCol w:w="1231"/>
        <w:gridCol w:w="1232"/>
      </w:tblGrid>
      <w:tr w14:paraId="7F6935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40CF4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月份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3EDC1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雨水收集量(m³)</w:t>
            </w:r>
          </w:p>
        </w:tc>
        <w:tc>
          <w:tcPr>
            <w:tcW w:w="1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D9157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杂用水需水量(m³)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50E37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雨水利用量(m³)</w:t>
            </w:r>
          </w:p>
        </w:tc>
        <w:tc>
          <w:tcPr>
            <w:tcW w:w="7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66CDC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外排量(m³)</w:t>
            </w:r>
          </w:p>
        </w:tc>
        <w:tc>
          <w:tcPr>
            <w:tcW w:w="7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545A6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补水量(m³)</w:t>
            </w:r>
          </w:p>
        </w:tc>
      </w:tr>
      <w:tr w14:paraId="4EEF38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8A4A1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1月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C23CA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5.45</w:t>
            </w:r>
          </w:p>
        </w:tc>
        <w:tc>
          <w:tcPr>
            <w:tcW w:w="1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01D50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13.4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44C705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5.45</w:t>
            </w:r>
          </w:p>
        </w:tc>
        <w:tc>
          <w:tcPr>
            <w:tcW w:w="7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E37D4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0.0</w:t>
            </w:r>
          </w:p>
        </w:tc>
        <w:tc>
          <w:tcPr>
            <w:tcW w:w="7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39F6C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7.95</w:t>
            </w:r>
          </w:p>
        </w:tc>
      </w:tr>
      <w:tr w14:paraId="5378C5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21F1A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2月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DC3D4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6.54</w:t>
            </w:r>
          </w:p>
        </w:tc>
        <w:tc>
          <w:tcPr>
            <w:tcW w:w="1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58210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15.0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9425B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6.54</w:t>
            </w:r>
          </w:p>
        </w:tc>
        <w:tc>
          <w:tcPr>
            <w:tcW w:w="7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05411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0.0</w:t>
            </w:r>
          </w:p>
        </w:tc>
        <w:tc>
          <w:tcPr>
            <w:tcW w:w="7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32E9F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8.46</w:t>
            </w:r>
          </w:p>
        </w:tc>
      </w:tr>
      <w:tr w14:paraId="422D0B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80D70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3月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2E955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13.09</w:t>
            </w:r>
          </w:p>
        </w:tc>
        <w:tc>
          <w:tcPr>
            <w:tcW w:w="1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9E12B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18.2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046D6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13.09</w:t>
            </w:r>
          </w:p>
        </w:tc>
        <w:tc>
          <w:tcPr>
            <w:tcW w:w="7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490DB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0.0</w:t>
            </w:r>
          </w:p>
        </w:tc>
        <w:tc>
          <w:tcPr>
            <w:tcW w:w="7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7DE1D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5.11</w:t>
            </w:r>
          </w:p>
        </w:tc>
      </w:tr>
      <w:tr w14:paraId="58ED01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0F357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4月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3A8E6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32.72</w:t>
            </w:r>
          </w:p>
        </w:tc>
        <w:tc>
          <w:tcPr>
            <w:tcW w:w="1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CC1CB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18.2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E24DB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18.2</w:t>
            </w:r>
          </w:p>
        </w:tc>
        <w:tc>
          <w:tcPr>
            <w:tcW w:w="7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9BC79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0.0</w:t>
            </w:r>
          </w:p>
        </w:tc>
        <w:tc>
          <w:tcPr>
            <w:tcW w:w="7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C2725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0.0</w:t>
            </w:r>
          </w:p>
        </w:tc>
      </w:tr>
      <w:tr w14:paraId="3DA6AF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72F4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5月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03C8D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54.53</w:t>
            </w:r>
          </w:p>
        </w:tc>
        <w:tc>
          <w:tcPr>
            <w:tcW w:w="1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E936E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24.6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1A775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24.6</w:t>
            </w:r>
          </w:p>
        </w:tc>
        <w:tc>
          <w:tcPr>
            <w:tcW w:w="7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3C611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0.0</w:t>
            </w:r>
          </w:p>
        </w:tc>
        <w:tc>
          <w:tcPr>
            <w:tcW w:w="7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2EE8D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0.0</w:t>
            </w:r>
          </w:p>
        </w:tc>
      </w:tr>
      <w:tr w14:paraId="07DBB7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E551B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6月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3E646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87.25</w:t>
            </w:r>
          </w:p>
        </w:tc>
        <w:tc>
          <w:tcPr>
            <w:tcW w:w="1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80477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26.2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3CE7A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26.2</w:t>
            </w:r>
          </w:p>
        </w:tc>
        <w:tc>
          <w:tcPr>
            <w:tcW w:w="7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B9259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25.5</w:t>
            </w:r>
          </w:p>
        </w:tc>
        <w:tc>
          <w:tcPr>
            <w:tcW w:w="7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D7291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0.0</w:t>
            </w:r>
          </w:p>
        </w:tc>
      </w:tr>
      <w:tr w14:paraId="4D2FB9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653C4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7月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6B691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163.59</w:t>
            </w:r>
          </w:p>
        </w:tc>
        <w:tc>
          <w:tcPr>
            <w:tcW w:w="1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E85A2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27.8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4DE01A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27.8</w:t>
            </w:r>
          </w:p>
        </w:tc>
        <w:tc>
          <w:tcPr>
            <w:tcW w:w="7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7DCDD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135.79</w:t>
            </w:r>
          </w:p>
        </w:tc>
        <w:tc>
          <w:tcPr>
            <w:tcW w:w="7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F3D56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0.0</w:t>
            </w:r>
          </w:p>
        </w:tc>
      </w:tr>
      <w:tr w14:paraId="7F4485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860C9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8月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B430B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152.68</w:t>
            </w:r>
          </w:p>
        </w:tc>
        <w:tc>
          <w:tcPr>
            <w:tcW w:w="1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B347A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29.4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AAEA6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29.4</w:t>
            </w:r>
          </w:p>
        </w:tc>
        <w:tc>
          <w:tcPr>
            <w:tcW w:w="7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C1C4F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123.28</w:t>
            </w:r>
          </w:p>
        </w:tc>
        <w:tc>
          <w:tcPr>
            <w:tcW w:w="7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95EDA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0.0</w:t>
            </w:r>
          </w:p>
        </w:tc>
      </w:tr>
      <w:tr w14:paraId="676C94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9CB4B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9月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B12C6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65.44</w:t>
            </w:r>
          </w:p>
        </w:tc>
        <w:tc>
          <w:tcPr>
            <w:tcW w:w="1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54EBD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26.2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94B47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26.2</w:t>
            </w:r>
          </w:p>
        </w:tc>
        <w:tc>
          <w:tcPr>
            <w:tcW w:w="7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992EF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39.24</w:t>
            </w:r>
          </w:p>
        </w:tc>
        <w:tc>
          <w:tcPr>
            <w:tcW w:w="7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5A0B7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0.0</w:t>
            </w:r>
          </w:p>
        </w:tc>
      </w:tr>
      <w:tr w14:paraId="194947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4F7DB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10月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9D4B1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32.72</w:t>
            </w:r>
          </w:p>
        </w:tc>
        <w:tc>
          <w:tcPr>
            <w:tcW w:w="1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7A9AA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21.4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DAF16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21.4</w:t>
            </w:r>
          </w:p>
        </w:tc>
        <w:tc>
          <w:tcPr>
            <w:tcW w:w="7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C5569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11.32</w:t>
            </w:r>
          </w:p>
        </w:tc>
        <w:tc>
          <w:tcPr>
            <w:tcW w:w="7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0160D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0.0</w:t>
            </w:r>
          </w:p>
        </w:tc>
      </w:tr>
      <w:tr w14:paraId="35B423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1ED2E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11月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89B8D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16.36</w:t>
            </w:r>
          </w:p>
        </w:tc>
        <w:tc>
          <w:tcPr>
            <w:tcW w:w="1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2CC16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16.6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5D1B3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16.36</w:t>
            </w:r>
          </w:p>
        </w:tc>
        <w:tc>
          <w:tcPr>
            <w:tcW w:w="7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A6C59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0.0</w:t>
            </w:r>
          </w:p>
        </w:tc>
        <w:tc>
          <w:tcPr>
            <w:tcW w:w="7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26554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0.24</w:t>
            </w:r>
          </w:p>
        </w:tc>
      </w:tr>
      <w:tr w14:paraId="14E15C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D904E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12月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CE73C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8.72</w:t>
            </w:r>
          </w:p>
        </w:tc>
        <w:tc>
          <w:tcPr>
            <w:tcW w:w="1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C5A4B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13.4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A8F61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8.72</w:t>
            </w:r>
          </w:p>
        </w:tc>
        <w:tc>
          <w:tcPr>
            <w:tcW w:w="7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639B1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0.0</w:t>
            </w:r>
          </w:p>
        </w:tc>
        <w:tc>
          <w:tcPr>
            <w:tcW w:w="7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9958D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4.68</w:t>
            </w:r>
          </w:p>
        </w:tc>
      </w:tr>
      <w:tr w14:paraId="26E540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17F2D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合计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F4A9A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639.09</w:t>
            </w:r>
          </w:p>
        </w:tc>
        <w:tc>
          <w:tcPr>
            <w:tcW w:w="1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E695A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250.4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5EFCC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223.96</w:t>
            </w:r>
          </w:p>
        </w:tc>
        <w:tc>
          <w:tcPr>
            <w:tcW w:w="7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CBFF8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335.13</w:t>
            </w:r>
          </w:p>
        </w:tc>
        <w:tc>
          <w:tcPr>
            <w:tcW w:w="7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3EE49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26.44</w:t>
            </w:r>
          </w:p>
        </w:tc>
      </w:tr>
    </w:tbl>
    <w:p w14:paraId="6D812956">
      <w:pPr>
        <w:pStyle w:val="4"/>
        <w:rPr>
          <w:rFonts w:hint="eastAsia" w:ascii="Times New Roman" w:hAnsi="Times New Roman" w:eastAsia="宋体"/>
          <w:sz w:val="30"/>
          <w:szCs w:val="30"/>
        </w:rPr>
      </w:pPr>
      <w:r>
        <w:rPr>
          <w:rFonts w:hint="eastAsia" w:ascii="Times New Roman" w:hAnsi="Times New Roman" w:eastAsia="宋体"/>
          <w:sz w:val="30"/>
          <w:szCs w:val="30"/>
        </w:rPr>
        <w:t>4.4 非传统水源利用率计算</w:t>
      </w:r>
    </w:p>
    <w:p w14:paraId="284E36D0">
      <w:pPr>
        <w:jc w:val="center"/>
        <w:rPr>
          <w:rFonts w:hint="eastAsia" w:ascii="Times New Roman" w:hAnsi="Times New Roman" w:eastAsia="宋体"/>
        </w:rPr>
      </w:pPr>
      <w:r>
        <w:rPr>
          <w:rFonts w:hint="eastAsia" w:ascii="Times New Roman" w:hAnsi="Times New Roman" w:eastAsia="宋体"/>
        </w:rPr>
        <w:t>表 4.4-1 年雨水设计利用量</w:t>
      </w:r>
    </w:p>
    <w:tbl>
      <w:tblPr>
        <w:tblW w:w="4999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56"/>
        <w:gridCol w:w="1575"/>
        <w:gridCol w:w="1575"/>
        <w:gridCol w:w="2878"/>
      </w:tblGrid>
      <w:tr w14:paraId="48D4A3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6930F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年雨水收集量(m³/a)</w:t>
            </w:r>
          </w:p>
        </w:tc>
        <w:tc>
          <w:tcPr>
            <w:tcW w:w="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55990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外排量(m³/a)</w:t>
            </w:r>
          </w:p>
        </w:tc>
        <w:tc>
          <w:tcPr>
            <w:tcW w:w="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06ECA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补水量(m³/a)</w:t>
            </w:r>
          </w:p>
        </w:tc>
        <w:tc>
          <w:tcPr>
            <w:tcW w:w="17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A7833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杂用水雨水利用量(m³/a)</w:t>
            </w:r>
          </w:p>
        </w:tc>
      </w:tr>
      <w:tr w14:paraId="57BB14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5BB01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639.09</w:t>
            </w:r>
          </w:p>
        </w:tc>
        <w:tc>
          <w:tcPr>
            <w:tcW w:w="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61E8A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335.13</w:t>
            </w:r>
          </w:p>
        </w:tc>
        <w:tc>
          <w:tcPr>
            <w:tcW w:w="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B8D6B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26.44</w:t>
            </w:r>
          </w:p>
        </w:tc>
        <w:tc>
          <w:tcPr>
            <w:tcW w:w="17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2C668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223.96</w:t>
            </w:r>
          </w:p>
        </w:tc>
      </w:tr>
    </w:tbl>
    <w:tbl>
      <w:tblPr>
        <w:tblStyle w:val="12"/>
        <w:tblpPr w:leftFromText="180" w:rightFromText="180" w:vertAnchor="text" w:horzAnchor="page" w:tblpX="1818" w:tblpY="306"/>
        <w:tblOverlap w:val="never"/>
        <w:tblW w:w="4999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62"/>
        <w:gridCol w:w="1605"/>
        <w:gridCol w:w="1062"/>
        <w:gridCol w:w="1570"/>
        <w:gridCol w:w="1493"/>
        <w:gridCol w:w="1592"/>
      </w:tblGrid>
      <w:tr w14:paraId="68C5FF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315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97174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非传统水源设计使用量 (m³/a)</w:t>
            </w:r>
          </w:p>
        </w:tc>
        <w:tc>
          <w:tcPr>
            <w:tcW w:w="8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8802C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设计用水总量 (m³/a)</w:t>
            </w:r>
          </w:p>
        </w:tc>
        <w:tc>
          <w:tcPr>
            <w:tcW w:w="9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549A5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非传统水源利用率 (%)</w:t>
            </w:r>
          </w:p>
        </w:tc>
      </w:tr>
      <w:tr w14:paraId="40F6F3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6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8CB41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中水设计利用量</w:t>
            </w:r>
          </w:p>
        </w:tc>
        <w:tc>
          <w:tcPr>
            <w:tcW w:w="9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8D3F2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杂用水雨水设计利用量</w:t>
            </w:r>
          </w:p>
        </w:tc>
        <w:tc>
          <w:tcPr>
            <w:tcW w:w="6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B0C02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海水设计利用量</w:t>
            </w:r>
          </w:p>
        </w:tc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BAF1D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其他非传统水设计利用量</w:t>
            </w:r>
          </w:p>
        </w:tc>
        <w:tc>
          <w:tcPr>
            <w:tcW w:w="8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A14C9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</w:p>
        </w:tc>
        <w:tc>
          <w:tcPr>
            <w:tcW w:w="9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0214D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</w:p>
        </w:tc>
      </w:tr>
      <w:tr w14:paraId="2CC664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7B944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0</w:t>
            </w:r>
          </w:p>
        </w:tc>
        <w:tc>
          <w:tcPr>
            <w:tcW w:w="9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809C1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223.96</w:t>
            </w:r>
          </w:p>
        </w:tc>
        <w:tc>
          <w:tcPr>
            <w:tcW w:w="6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37BE6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0</w:t>
            </w:r>
          </w:p>
        </w:tc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57405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0</w:t>
            </w:r>
          </w:p>
        </w:tc>
        <w:tc>
          <w:tcPr>
            <w:tcW w:w="8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E5527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250.4</w:t>
            </w:r>
          </w:p>
        </w:tc>
        <w:tc>
          <w:tcPr>
            <w:tcW w:w="9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020EE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89.4%</w:t>
            </w:r>
          </w:p>
        </w:tc>
      </w:tr>
    </w:tbl>
    <w:p w14:paraId="1FB45657">
      <w:pPr>
        <w:jc w:val="center"/>
        <w:rPr>
          <w:rFonts w:hint="eastAsia" w:ascii="Times New Roman" w:hAnsi="Times New Roman" w:eastAsia="宋体"/>
        </w:rPr>
      </w:pPr>
      <w:r>
        <w:rPr>
          <w:rFonts w:hint="eastAsia" w:ascii="Times New Roman" w:hAnsi="Times New Roman" w:eastAsia="宋体"/>
        </w:rPr>
        <w:t>表 4.4-3 非传统水源利用率计算表</w:t>
      </w:r>
    </w:p>
    <w:p w14:paraId="1E3D84D1">
      <w:pPr>
        <w:spacing w:line="360" w:lineRule="auto"/>
        <w:ind w:firstLine="420" w:firstLineChars="200"/>
        <w:jc w:val="left"/>
        <w:rPr>
          <w:rFonts w:hint="eastAsia" w:ascii="Times New Roman" w:hAnsi="Times New Roman" w:eastAsia="宋体"/>
        </w:rPr>
      </w:pPr>
      <w:r>
        <w:rPr>
          <w:rFonts w:hint="eastAsia" w:ascii="Times New Roman" w:hAnsi="Times New Roman" w:eastAsia="宋体"/>
        </w:rPr>
        <w:t>绿化灌溉等杂用水年总用水量250.4 m³，其中采用非传统水源的利用量为223.96 m³，占其总用水量的比例R = 89.4%，满足雨水利用部分60%以上的用水量来自非传统水源的要求。</w:t>
      </w:r>
    </w:p>
    <w:p w14:paraId="7866E2CC">
      <w:pPr>
        <w:pStyle w:val="2"/>
        <w:numPr>
          <w:ilvl w:val="0"/>
          <w:numId w:val="1"/>
        </w:numPr>
        <w:rPr>
          <w:rFonts w:hint="eastAsia" w:ascii="Times New Roman" w:hAnsi="Times New Roman" w:eastAsia="宋体"/>
          <w:sz w:val="32"/>
          <w:szCs w:val="32"/>
        </w:rPr>
      </w:pPr>
      <w:r>
        <w:rPr>
          <w:rFonts w:hint="eastAsia" w:ascii="Times New Roman" w:hAnsi="Times New Roman" w:eastAsia="宋体"/>
          <w:sz w:val="32"/>
          <w:szCs w:val="32"/>
        </w:rPr>
        <w:t>净化系统设计</w:t>
      </w:r>
    </w:p>
    <w:p w14:paraId="09A8D7BE">
      <w:pPr>
        <w:pStyle w:val="4"/>
        <w:rPr>
          <w:rFonts w:hint="eastAsia" w:ascii="Times New Roman" w:hAnsi="Times New Roman" w:eastAsia="宋体"/>
          <w:sz w:val="30"/>
          <w:szCs w:val="30"/>
        </w:rPr>
      </w:pPr>
      <w:r>
        <w:rPr>
          <w:rFonts w:hint="eastAsia" w:ascii="Times New Roman" w:hAnsi="Times New Roman" w:eastAsia="宋体"/>
          <w:sz w:val="30"/>
          <w:szCs w:val="30"/>
        </w:rPr>
        <w:t>5.1 处理目标</w:t>
      </w:r>
    </w:p>
    <w:p w14:paraId="6BFB0E85">
      <w:pPr>
        <w:spacing w:line="360" w:lineRule="auto"/>
        <w:ind w:firstLine="420" w:firstLineChars="200"/>
        <w:jc w:val="left"/>
        <w:rPr>
          <w:rFonts w:hint="eastAsia" w:ascii="Times New Roman" w:hAnsi="Times New Roman" w:eastAsia="宋体"/>
        </w:rPr>
      </w:pPr>
      <w:r>
        <w:rPr>
          <w:rFonts w:hint="eastAsia" w:ascii="Times New Roman" w:hAnsi="Times New Roman" w:eastAsia="宋体"/>
        </w:rPr>
        <w:t>雨水用作建筑杂用水，处理水质应依据《城市污水再生利用城市杂用水水质》（GB/T 18920），主要指标要求如下：</w:t>
      </w:r>
    </w:p>
    <w:p w14:paraId="6337BD1F">
      <w:pPr>
        <w:jc w:val="center"/>
        <w:rPr>
          <w:rFonts w:hint="eastAsia" w:ascii="Times New Roman" w:hAnsi="Times New Roman" w:eastAsia="宋体"/>
        </w:rPr>
      </w:pPr>
      <w:r>
        <w:rPr>
          <w:rFonts w:hint="eastAsia" w:ascii="Times New Roman" w:hAnsi="Times New Roman" w:eastAsia="宋体"/>
        </w:rPr>
        <w:t>表 5.1-1 城市杂用水水质标准（摘录）</w:t>
      </w:r>
    </w:p>
    <w:tbl>
      <w:tblPr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85"/>
        <w:gridCol w:w="3424"/>
        <w:gridCol w:w="485"/>
        <w:gridCol w:w="1433"/>
        <w:gridCol w:w="848"/>
        <w:gridCol w:w="848"/>
        <w:gridCol w:w="860"/>
      </w:tblGrid>
      <w:tr w14:paraId="1B0FB4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BF4C7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序号</w:t>
            </w:r>
          </w:p>
        </w:tc>
        <w:tc>
          <w:tcPr>
            <w:tcW w:w="20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19985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项目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D7C37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冲厕</w:t>
            </w:r>
          </w:p>
        </w:tc>
        <w:tc>
          <w:tcPr>
            <w:tcW w:w="8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92017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道路清扫、消防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8C43F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城市绿化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7064C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车库冲洗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240D8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建筑施工</w:t>
            </w:r>
          </w:p>
        </w:tc>
      </w:tr>
      <w:tr w14:paraId="5FFBAA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3FEB3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</w:t>
            </w:r>
          </w:p>
        </w:tc>
        <w:tc>
          <w:tcPr>
            <w:tcW w:w="20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7082D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pH</w:t>
            </w:r>
          </w:p>
        </w:tc>
        <w:tc>
          <w:tcPr>
            <w:tcW w:w="266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4E24E8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6.0~9.0</w:t>
            </w:r>
          </w:p>
        </w:tc>
      </w:tr>
      <w:tr w14:paraId="6D778A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B12EF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</w:t>
            </w:r>
          </w:p>
        </w:tc>
        <w:tc>
          <w:tcPr>
            <w:tcW w:w="20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753BE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色（度）≤</w:t>
            </w:r>
          </w:p>
        </w:tc>
        <w:tc>
          <w:tcPr>
            <w:tcW w:w="266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B5CE0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30</w:t>
            </w:r>
          </w:p>
        </w:tc>
      </w:tr>
      <w:tr w14:paraId="0E152F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4F13A0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4</w:t>
            </w:r>
          </w:p>
        </w:tc>
        <w:tc>
          <w:tcPr>
            <w:tcW w:w="20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8570D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浊度（NTU）≤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518D85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5</w:t>
            </w:r>
          </w:p>
        </w:tc>
        <w:tc>
          <w:tcPr>
            <w:tcW w:w="8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98649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10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10BB5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10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66A89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5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218BD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20</w:t>
            </w:r>
          </w:p>
        </w:tc>
      </w:tr>
      <w:tr w14:paraId="071352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F0646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6</w:t>
            </w:r>
          </w:p>
        </w:tc>
        <w:tc>
          <w:tcPr>
            <w:tcW w:w="20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5EEB4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五日生化需氧量（BOD₅）（mg/L）≤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800A0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10</w:t>
            </w:r>
          </w:p>
        </w:tc>
        <w:tc>
          <w:tcPr>
            <w:tcW w:w="8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4BE591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15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DEDD4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20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2CB1E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10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D96FB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15</w:t>
            </w:r>
          </w:p>
        </w:tc>
      </w:tr>
      <w:tr w14:paraId="6D9E49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147EDE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7</w:t>
            </w:r>
          </w:p>
        </w:tc>
        <w:tc>
          <w:tcPr>
            <w:tcW w:w="20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3E7546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氨氮（mg/L）≤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7C582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10</w:t>
            </w:r>
          </w:p>
        </w:tc>
        <w:tc>
          <w:tcPr>
            <w:tcW w:w="8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28E806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10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F6D20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20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00C0B9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10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6F27E0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20</w:t>
            </w:r>
          </w:p>
        </w:tc>
      </w:tr>
      <w:tr w14:paraId="3B0414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000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60" w:type="dxa"/>
              <w:left w:w="40" w:type="dxa"/>
              <w:bottom w:w="60" w:type="dxa"/>
              <w:right w:w="40" w:type="dxa"/>
            </w:tcMar>
            <w:vAlign w:val="center"/>
          </w:tcPr>
          <w:p w14:paraId="78F949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注：详细指标应参照GB/T 18920标准执行。</w:t>
            </w:r>
          </w:p>
        </w:tc>
      </w:tr>
    </w:tbl>
    <w:p w14:paraId="7C454EDC">
      <w:pPr>
        <w:pStyle w:val="4"/>
        <w:rPr>
          <w:rFonts w:hint="eastAsia" w:ascii="Times New Roman" w:hAnsi="Times New Roman" w:eastAsia="宋体"/>
          <w:sz w:val="30"/>
          <w:szCs w:val="30"/>
        </w:rPr>
      </w:pPr>
      <w:r>
        <w:rPr>
          <w:rFonts w:hint="eastAsia" w:ascii="Times New Roman" w:hAnsi="Times New Roman" w:eastAsia="宋体"/>
          <w:sz w:val="30"/>
          <w:szCs w:val="30"/>
        </w:rPr>
        <w:t>5.2 工艺流程</w:t>
      </w:r>
    </w:p>
    <w:p w14:paraId="07BAA888">
      <w:pPr>
        <w:spacing w:line="360" w:lineRule="auto"/>
        <w:ind w:firstLine="420" w:firstLineChars="200"/>
        <w:jc w:val="left"/>
        <w:rPr>
          <w:rFonts w:hint="eastAsia" w:ascii="Times New Roman" w:hAnsi="Times New Roman" w:eastAsia="宋体"/>
        </w:rPr>
      </w:pPr>
      <w:r>
        <w:rPr>
          <w:rFonts w:hint="eastAsia" w:ascii="Times New Roman" w:hAnsi="Times New Roman" w:eastAsia="宋体"/>
        </w:rPr>
        <w:t>本项目拟采用的雨水处理工艺流程为：</w:t>
      </w:r>
    </w:p>
    <w:p w14:paraId="7B1FA8F5">
      <w:pPr>
        <w:spacing w:line="360" w:lineRule="auto"/>
        <w:ind w:firstLine="420" w:firstLineChars="200"/>
        <w:jc w:val="left"/>
        <w:rPr>
          <w:rFonts w:hint="eastAsia" w:ascii="Times New Roman" w:hAnsi="Times New Roman" w:eastAsia="宋体"/>
        </w:rPr>
      </w:pPr>
      <w:r>
        <w:rPr>
          <w:rFonts w:hint="eastAsia" w:ascii="Times New Roman" w:hAnsi="Times New Roman" w:eastAsia="宋体"/>
        </w:rPr>
        <w:t>屋面及硬化地面雨水 → 初期弃流装置 → 雨水蓄水池（兼沉淀） → 压力过滤+消毒 → 清水池 → 绿化/道路/停车场冲洗用水点</w:t>
      </w:r>
    </w:p>
    <w:p w14:paraId="3A9721CF">
      <w:pPr>
        <w:spacing w:line="360" w:lineRule="auto"/>
        <w:ind w:firstLine="420" w:firstLineChars="200"/>
        <w:jc w:val="left"/>
        <w:rPr>
          <w:rFonts w:hint="eastAsia" w:ascii="Times New Roman" w:hAnsi="Times New Roman" w:eastAsia="宋体"/>
        </w:rPr>
      </w:pPr>
      <w:r>
        <w:rPr>
          <w:rFonts w:hint="eastAsia" w:ascii="Times New Roman" w:hAnsi="Times New Roman" w:eastAsia="宋体"/>
        </w:rPr>
        <w:t>系统主要处理单元（弃流、沉淀、过滤、储存）均采用地埋式一体化成品设备，材质为PE或PP，耐腐蚀。初期弃流利用重力流自动完成，减少能耗。过滤和消毒设备采用集成化单元，便于维护管理。</w:t>
      </w:r>
    </w:p>
    <w:p w14:paraId="49A29B75">
      <w:pPr>
        <w:pStyle w:val="4"/>
        <w:rPr>
          <w:rFonts w:hint="eastAsia" w:ascii="Times New Roman" w:hAnsi="Times New Roman" w:eastAsia="宋体"/>
          <w:sz w:val="30"/>
          <w:szCs w:val="30"/>
        </w:rPr>
      </w:pPr>
      <w:r>
        <w:rPr>
          <w:rFonts w:hint="eastAsia" w:ascii="Times New Roman" w:hAnsi="Times New Roman" w:eastAsia="宋体"/>
          <w:sz w:val="30"/>
          <w:szCs w:val="30"/>
        </w:rPr>
        <w:t>5.3 安全措施</w:t>
      </w:r>
    </w:p>
    <w:p w14:paraId="29ABF845">
      <w:pPr>
        <w:spacing w:line="360" w:lineRule="auto"/>
        <w:ind w:firstLine="420" w:firstLineChars="200"/>
        <w:jc w:val="left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雨水回用系统的管网、设备及取水口均标注有明确“雨水回用”标志。</w:t>
      </w:r>
    </w:p>
    <w:p w14:paraId="5DA5BF8E">
      <w:pPr>
        <w:spacing w:line="360" w:lineRule="auto"/>
        <w:ind w:firstLine="420" w:firstLineChars="200"/>
        <w:jc w:val="left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取水口设带锁装置，防止误饮。雨水管网与自来水管网设有空气隔断，严禁直接连接。</w:t>
      </w:r>
    </w:p>
    <w:p w14:paraId="7876B03E">
      <w:pPr>
        <w:spacing w:line="360" w:lineRule="auto"/>
        <w:ind w:firstLine="420" w:firstLineChars="200"/>
        <w:jc w:val="left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雨水管道外壁按有关标准的规定涂成浅绿色并标注“雨水”字样。</w:t>
      </w:r>
    </w:p>
    <w:p w14:paraId="6B536EF3">
      <w:pPr>
        <w:pStyle w:val="2"/>
        <w:numPr>
          <w:ilvl w:val="0"/>
          <w:numId w:val="1"/>
        </w:numPr>
        <w:rPr>
          <w:rFonts w:hint="eastAsia" w:ascii="Times New Roman" w:hAnsi="Times New Roman" w:eastAsia="宋体"/>
          <w:sz w:val="32"/>
          <w:szCs w:val="32"/>
        </w:rPr>
      </w:pPr>
      <w:r>
        <w:rPr>
          <w:rFonts w:hint="eastAsia" w:ascii="Times New Roman" w:hAnsi="Times New Roman" w:eastAsia="宋体"/>
          <w:sz w:val="32"/>
          <w:szCs w:val="32"/>
        </w:rPr>
        <w:t>非传统水源利用经济指标及效益分析</w:t>
      </w:r>
    </w:p>
    <w:p w14:paraId="4F14EDEA">
      <w:pPr>
        <w:pStyle w:val="4"/>
        <w:rPr>
          <w:rFonts w:hint="eastAsia" w:ascii="Times New Roman" w:hAnsi="Times New Roman" w:eastAsia="宋体"/>
          <w:sz w:val="30"/>
          <w:szCs w:val="30"/>
        </w:rPr>
      </w:pPr>
      <w:r>
        <w:rPr>
          <w:rFonts w:hint="eastAsia" w:ascii="Times New Roman" w:hAnsi="Times New Roman" w:eastAsia="宋体"/>
          <w:sz w:val="30"/>
          <w:szCs w:val="30"/>
        </w:rPr>
        <w:t>6.1 经济效益分析</w:t>
      </w:r>
    </w:p>
    <w:p w14:paraId="12342BA5">
      <w:pPr>
        <w:spacing w:line="360" w:lineRule="auto"/>
        <w:ind w:firstLine="420" w:firstLineChars="200"/>
        <w:jc w:val="left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直接节水效益：本项目年雨水利用量为224 m³，沈阳地区自来水水价（含排污费）按4.0元/m³计，每年可节约自来水费约896元。</w:t>
      </w:r>
    </w:p>
    <w:p w14:paraId="14A1A5D3">
      <w:pPr>
        <w:spacing w:line="360" w:lineRule="auto"/>
        <w:ind w:firstLine="420" w:firstLineChars="200"/>
        <w:jc w:val="left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减少市政排水费用：年减少雨水外排量335 m³，相应减少市政雨水管网运行及维护压力，间接降低城市排水设施建设成本。</w:t>
      </w:r>
    </w:p>
    <w:p w14:paraId="7F33DDEB">
      <w:pPr>
        <w:spacing w:line="360" w:lineRule="auto"/>
        <w:ind w:firstLine="420" w:firstLineChars="200"/>
        <w:jc w:val="left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防洪效益：通过雨水调蓄，削减峰值径流，降低场地及周边内涝风险，减少潜在经济损失。</w:t>
      </w:r>
    </w:p>
    <w:p w14:paraId="02772FB8">
      <w:pPr>
        <w:spacing w:line="360" w:lineRule="auto"/>
        <w:ind w:firstLine="420" w:firstLineChars="200"/>
        <w:jc w:val="left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间接社会效益：节约水资源，缓解城市供水紧张，体现绿色建筑的社会责任。</w:t>
      </w:r>
    </w:p>
    <w:p w14:paraId="6DC4F8EF">
      <w:pPr>
        <w:pStyle w:val="4"/>
        <w:rPr>
          <w:rFonts w:hint="eastAsia" w:ascii="Times New Roman" w:hAnsi="Times New Roman" w:eastAsia="宋体"/>
          <w:sz w:val="30"/>
          <w:szCs w:val="30"/>
        </w:rPr>
      </w:pPr>
      <w:r>
        <w:rPr>
          <w:rFonts w:hint="eastAsia" w:ascii="Times New Roman" w:hAnsi="Times New Roman" w:eastAsia="宋体"/>
          <w:sz w:val="30"/>
          <w:szCs w:val="30"/>
        </w:rPr>
        <w:t>6.2 环境效益分析</w:t>
      </w:r>
    </w:p>
    <w:p w14:paraId="0DFE0A83">
      <w:pPr>
        <w:spacing w:line="360" w:lineRule="auto"/>
        <w:ind w:firstLine="420" w:firstLineChars="200"/>
        <w:jc w:val="left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改善水环境：减少雨水径流携带的面源污染直接排入受纳水体，有利于保护区域水环境质量。</w:t>
      </w:r>
    </w:p>
    <w:p w14:paraId="7C91CEAB">
      <w:pPr>
        <w:spacing w:line="360" w:lineRule="auto"/>
        <w:ind w:firstLine="420" w:firstLineChars="200"/>
        <w:jc w:val="left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补充地下水：通过渗透设施（如绿地）间接补充地下水，维持生态平衡。</w:t>
      </w:r>
    </w:p>
    <w:p w14:paraId="64A4ACE8">
      <w:pPr>
        <w:spacing w:line="360" w:lineRule="auto"/>
        <w:ind w:firstLine="420" w:firstLineChars="200"/>
        <w:jc w:val="left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减轻城市热岛效应：增加绿地灌溉用水，改善植被生长状况，有助于缓解热岛效应。</w:t>
      </w:r>
    </w:p>
    <w:p w14:paraId="59A87767">
      <w:pPr>
        <w:spacing w:line="360" w:lineRule="auto"/>
        <w:ind w:firstLine="420" w:firstLineChars="200"/>
        <w:jc w:val="left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提升生态景观：充足的绿化用水保障了植被的成活率和生长质量，提升项目整体生态环境品质。</w:t>
      </w:r>
    </w:p>
    <w:p w14:paraId="7634317E">
      <w:pPr>
        <w:pStyle w:val="2"/>
        <w:numPr>
          <w:ilvl w:val="0"/>
          <w:numId w:val="1"/>
        </w:numPr>
        <w:rPr>
          <w:rFonts w:hint="eastAsia" w:ascii="Times New Roman" w:hAnsi="Times New Roman" w:eastAsia="宋体"/>
          <w:sz w:val="32"/>
          <w:szCs w:val="32"/>
        </w:rPr>
      </w:pPr>
      <w:r>
        <w:rPr>
          <w:rFonts w:hint="eastAsia" w:ascii="Times New Roman" w:hAnsi="Times New Roman" w:eastAsia="宋体"/>
          <w:sz w:val="32"/>
          <w:szCs w:val="32"/>
        </w:rPr>
        <w:t>结论</w:t>
      </w:r>
    </w:p>
    <w:p w14:paraId="38BD7079">
      <w:pPr>
        <w:spacing w:line="360" w:lineRule="auto"/>
        <w:ind w:firstLine="420" w:firstLineChars="200"/>
        <w:jc w:val="left"/>
        <w:rPr>
          <w:rFonts w:hint="eastAsia" w:ascii="Times New Roman" w:hAnsi="Times New Roman" w:eastAsia="宋体"/>
        </w:rPr>
      </w:pPr>
      <w:r>
        <w:rPr>
          <w:rFonts w:hint="eastAsia" w:ascii="Times New Roman" w:hAnsi="Times New Roman" w:eastAsia="宋体"/>
        </w:rPr>
        <w:t>本项目设置雨水回收利用系统，收集屋面及部分硬化地面雨水，经处理后用于绿化灌溉、道路和停车场冲洗。经水量平衡计算，年雨水利用量约为 224 m³，设计年总用水量为 250.4 m³，非传统水源利用率达到 89.4%。绿化灌溉等杂用水中，非传统水源占比为89.4%，远高于60%的要求。</w:t>
      </w:r>
    </w:p>
    <w:p w14:paraId="3F07727C">
      <w:pPr>
        <w:spacing w:line="360" w:lineRule="auto"/>
        <w:ind w:firstLine="420" w:firstLineChars="200"/>
        <w:jc w:val="left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所设置的雨水收集利用系统，每年可节约自来水约224吨，具有良好的节水效益和环境效益。同时，该系统对于削减场地径流、减轻城市排水负荷、改善生态环境具有积极作用，符合绿色建筑的设计理念。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Noto Sans SC">
    <w:panose1 w:val="020B0200000000000000"/>
    <w:charset w:val="86"/>
    <w:family w:val="auto"/>
    <w:pitch w:val="default"/>
    <w:sig w:usb0="20000083" w:usb1="2ADF3C10" w:usb2="00000016" w:usb3="00000000" w:csb0="600601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0DB70F0"/>
    <w:multiLevelType w:val="multilevel"/>
    <w:tmpl w:val="60DB70F0"/>
    <w:lvl w:ilvl="0" w:tentative="0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278"/>
    <w:rsid w:val="001B6E91"/>
    <w:rsid w:val="00255A8C"/>
    <w:rsid w:val="002A0BA8"/>
    <w:rsid w:val="002D48BF"/>
    <w:rsid w:val="002F711C"/>
    <w:rsid w:val="003F7633"/>
    <w:rsid w:val="00457D5C"/>
    <w:rsid w:val="004B543D"/>
    <w:rsid w:val="00534D43"/>
    <w:rsid w:val="005C3FB2"/>
    <w:rsid w:val="005E4634"/>
    <w:rsid w:val="00692A8B"/>
    <w:rsid w:val="006C2A28"/>
    <w:rsid w:val="007058ED"/>
    <w:rsid w:val="00730DC6"/>
    <w:rsid w:val="00762D87"/>
    <w:rsid w:val="00857CB4"/>
    <w:rsid w:val="008746B4"/>
    <w:rsid w:val="00903C8D"/>
    <w:rsid w:val="00994AA0"/>
    <w:rsid w:val="00A2546F"/>
    <w:rsid w:val="00AB4278"/>
    <w:rsid w:val="00B51D18"/>
    <w:rsid w:val="00BB6877"/>
    <w:rsid w:val="00BF08EE"/>
    <w:rsid w:val="00C60AFD"/>
    <w:rsid w:val="00CA323B"/>
    <w:rsid w:val="00D65E13"/>
    <w:rsid w:val="00DC0E10"/>
    <w:rsid w:val="00E03B97"/>
    <w:rsid w:val="00E42D40"/>
    <w:rsid w:val="00F36763"/>
    <w:rsid w:val="016C3780"/>
    <w:rsid w:val="109C64BB"/>
    <w:rsid w:val="19642112"/>
    <w:rsid w:val="19F14120"/>
    <w:rsid w:val="1D746DDC"/>
    <w:rsid w:val="2AA7105F"/>
    <w:rsid w:val="2E16660C"/>
    <w:rsid w:val="35E46651"/>
    <w:rsid w:val="41543FED"/>
    <w:rsid w:val="46BD2CD2"/>
    <w:rsid w:val="49D12238"/>
    <w:rsid w:val="49F02CC8"/>
    <w:rsid w:val="52483D98"/>
    <w:rsid w:val="538D60DF"/>
    <w:rsid w:val="53E75832"/>
    <w:rsid w:val="58616837"/>
    <w:rsid w:val="5C6F4617"/>
    <w:rsid w:val="6F13764C"/>
    <w:rsid w:val="71EB5CF6"/>
    <w:rsid w:val="74ED5F47"/>
    <w:rsid w:val="7C283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link w:val="18"/>
    <w:qFormat/>
    <w:uiPriority w:val="1"/>
    <w:rPr>
      <w:rFonts w:ascii="宋体" w:hAnsi="宋体" w:eastAsia="宋体" w:cs="宋体"/>
      <w:sz w:val="24"/>
      <w:szCs w:val="24"/>
      <w:lang w:val="zh-CN" w:bidi="zh-CN"/>
    </w:rPr>
  </w:style>
  <w:style w:type="paragraph" w:styleId="7">
    <w:name w:val="toc 3"/>
    <w:basedOn w:val="1"/>
    <w:next w:val="1"/>
    <w:autoRedefine/>
    <w:unhideWhenUsed/>
    <w:uiPriority w:val="39"/>
    <w:pPr>
      <w:ind w:left="840" w:leftChars="400"/>
    </w:pPr>
  </w:style>
  <w:style w:type="paragraph" w:styleId="8">
    <w:name w:val="footer"/>
    <w:basedOn w:val="1"/>
    <w:link w:val="2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autoRedefine/>
    <w:unhideWhenUsed/>
    <w:uiPriority w:val="39"/>
  </w:style>
  <w:style w:type="paragraph" w:styleId="11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3">
    <w:name w:val="Table Grid"/>
    <w:basedOn w:val="12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22"/>
    <w:rPr>
      <w:b/>
    </w:rPr>
  </w:style>
  <w:style w:type="character" w:styleId="16">
    <w:name w:val="Hyperlink"/>
    <w:basedOn w:val="14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标题 1 字符"/>
    <w:basedOn w:val="14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正文文本 字符"/>
    <w:basedOn w:val="14"/>
    <w:link w:val="6"/>
    <w:qFormat/>
    <w:uiPriority w:val="1"/>
    <w:rPr>
      <w:rFonts w:ascii="宋体" w:hAnsi="宋体" w:eastAsia="宋体" w:cs="宋体"/>
      <w:sz w:val="24"/>
      <w:szCs w:val="24"/>
      <w:lang w:val="zh-CN" w:bidi="zh-CN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页眉 字符"/>
    <w:basedOn w:val="14"/>
    <w:link w:val="9"/>
    <w:uiPriority w:val="99"/>
    <w:rPr>
      <w:sz w:val="18"/>
      <w:szCs w:val="18"/>
    </w:rPr>
  </w:style>
  <w:style w:type="character" w:customStyle="1" w:styleId="21">
    <w:name w:val="页脚 字符"/>
    <w:basedOn w:val="14"/>
    <w:link w:val="8"/>
    <w:uiPriority w:val="99"/>
    <w:rPr>
      <w:sz w:val="18"/>
      <w:szCs w:val="18"/>
    </w:rPr>
  </w:style>
  <w:style w:type="character" w:customStyle="1" w:styleId="22">
    <w:name w:val="标题 3 字符"/>
    <w:basedOn w:val="14"/>
    <w:link w:val="4"/>
    <w:uiPriority w:val="9"/>
    <w:rPr>
      <w:b/>
      <w:bCs/>
      <w:sz w:val="32"/>
      <w:szCs w:val="32"/>
    </w:rPr>
  </w:style>
  <w:style w:type="character" w:customStyle="1" w:styleId="23">
    <w:name w:val="标题 4 字符"/>
    <w:basedOn w:val="14"/>
    <w:link w:val="5"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styleId="24">
    <w:name w:val="Placeholder Text"/>
    <w:basedOn w:val="14"/>
    <w:semiHidden/>
    <w:uiPriority w:val="99"/>
    <w:rPr>
      <w:color w:val="808080"/>
    </w:rPr>
  </w:style>
  <w:style w:type="paragraph" w:customStyle="1" w:styleId="25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56414B-F6B3-4F68-B0FF-0B477D511C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2253</Words>
  <Characters>2595</Characters>
  <Lines>51</Lines>
  <Paragraphs>14</Paragraphs>
  <TotalTime>0</TotalTime>
  <ScaleCrop>false</ScaleCrop>
  <LinksUpToDate>false</LinksUpToDate>
  <CharactersWithSpaces>2692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2020-12-14T06:23:00Z</dcterms:created>
  <dc:creator>Administrator</dc:creator>
  <cp:lastModifiedBy>徐沐</cp:lastModifiedBy>
  <dcterms:modified xsi:type="dcterms:W3CDTF">2026-03-11T07:29:07Z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eyJoZGlkIjoiY2Q1Y2NkZTgyMjU0ZmVkMjM0YzViOWUzZjVkOTdmZDciLCJ1c2VySWQiOiI5NjA2NjExNDIifQ==</vt:lpwstr>
  </property>
  <property fmtid="{D5CDD505-2E9C-101B-9397-08002B2CF9AE}" pid="3" name="KSOProductBuildVer">
    <vt:lpwstr>2052-12.1.0.25222</vt:lpwstr>
  </property>
  <property fmtid="{D5CDD505-2E9C-101B-9397-08002B2CF9AE}" pid="4" name="ICV">
    <vt:lpwstr>EDF35142F8E04F8B8C3AE80F9562F6FF_12</vt:lpwstr>
  </property>
</Properties>
</file>