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852F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612B920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971AC91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789FE63D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65CB34F5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D065328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981E351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2B68667E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42110070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3483E93B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0D036EAB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6528C93B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37D2512E"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rFonts w:hint="eastAsia"/>
          <w:b w:val="0"/>
          <w:bCs w:val="0"/>
          <w:u w:val="single"/>
          <w:lang w:eastAsia="zh-CN"/>
        </w:rPr>
        <w:t>从集成到消解：低碳视角下的层次化建筑系统设计</w:t>
      </w:r>
    </w:p>
    <w:p w14:paraId="5B29CE38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76866F27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7C0E9DE0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4CDE1CD7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2B76FF22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624A3114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0127E37A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3D2ED006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4F59F006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7C2BC177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012B3C7A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4BAE9668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6F671981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517A1440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27625C6D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55032A34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30FB5FFA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0546E7E1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78DCE7CF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4E290C19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589EF343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5129EB25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6622E83E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6DA2E8F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E6030B8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295BB833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60C4C18D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辽宁省沈阳市和平区东岛路12-17号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7487.4</w:t>
      </w:r>
      <w:r>
        <w:rPr>
          <w:spacing w:val="4"/>
          <w:lang w:eastAsia="zh-CN"/>
        </w:rPr>
        <w:t>平方米，建筑面积为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1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6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2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2400</w:t>
      </w:r>
      <w:r>
        <w:rPr>
          <w:rFonts w:ascii="Calibri" w:hAnsi="Calibri" w:eastAsia="Calibri" w:cs="Calibri"/>
          <w:u w:val="single"/>
          <w:lang w:eastAsia="zh-CN"/>
        </w:rPr>
        <w:t xml:space="preserve">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26A3459D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2EC3DFC8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46008131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5FD0C533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501364FB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3E36A58E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val="en-US" w:eastAsia="zh-CN"/>
        </w:rPr>
        <w:t>307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637EAA24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490</w:t>
      </w:r>
      <w:r>
        <w:rPr>
          <w:rFonts w:cs="宋体"/>
          <w:bCs/>
          <w:u w:val="single"/>
          <w:lang w:eastAsia="zh-CN"/>
        </w:rPr>
        <w:t xml:space="preserve">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56302CB2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75A1BDA0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16562392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</w:t>
      </w:r>
      <w:r>
        <w:rPr>
          <w:rFonts w:hint="eastAsia"/>
          <w:b w:val="0"/>
          <w:w w:val="95"/>
          <w:u w:val="single"/>
          <w:lang w:val="en-US" w:eastAsia="zh-CN"/>
        </w:rPr>
        <w:t>南提西路（地铁站）</w:t>
      </w:r>
      <w:r>
        <w:rPr>
          <w:b w:val="0"/>
          <w:w w:val="95"/>
          <w:u w:val="single"/>
          <w:lang w:eastAsia="zh-CN"/>
        </w:rPr>
        <w:t xml:space="preserve">                         </w:t>
      </w:r>
    </w:p>
    <w:p w14:paraId="337AEBB9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</w:t>
      </w:r>
      <w:r>
        <w:rPr>
          <w:rFonts w:hint="eastAsia"/>
          <w:b w:val="0"/>
          <w:w w:val="95"/>
          <w:u w:val="single"/>
          <w:lang w:val="en-US" w:eastAsia="zh-CN"/>
        </w:rPr>
        <w:t>南提路秀岛路（公交站）</w:t>
      </w:r>
      <w:r>
        <w:rPr>
          <w:b w:val="0"/>
          <w:w w:val="95"/>
          <w:u w:val="single"/>
          <w:lang w:eastAsia="zh-CN"/>
        </w:rPr>
        <w:t xml:space="preserve">                            </w:t>
      </w:r>
    </w:p>
    <w:p w14:paraId="23C5D2E4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526700E2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16A5096D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rFonts w:hint="eastAsia"/>
          <w:b w:val="0"/>
          <w:bCs w:val="0"/>
          <w:u w:val="single"/>
          <w:lang w:eastAsia="zh-CN"/>
        </w:rPr>
        <w:drawing>
          <wp:inline distT="0" distB="0" distL="114300" distR="114300">
            <wp:extent cx="5425440" cy="3119120"/>
            <wp:effectExtent l="0" t="0" r="10160" b="5080"/>
            <wp:docPr id="5" name="图片 5" descr="屏幕截图 2026-03-11 123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屏幕截图 2026-03-11 1232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1C8A1"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 w14:paraId="50F7C04B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2EBE1546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val="en-US" w:eastAsia="zh-CN"/>
        </w:rPr>
        <w:t>和平一校长白岛分校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val="en-US" w:eastAsia="zh-CN"/>
        </w:rPr>
        <w:t>543</w:t>
      </w:r>
      <w:r>
        <w:rPr>
          <w:rFonts w:cs="宋体"/>
          <w:bCs/>
          <w:u w:val="single"/>
          <w:lang w:eastAsia="zh-CN"/>
        </w:rPr>
        <w:t xml:space="preserve">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40848160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val="en-US" w:eastAsia="zh-CN"/>
        </w:rPr>
        <w:t>沈阳市第一二六中学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</w:t>
      </w:r>
      <w:r>
        <w:rPr>
          <w:rFonts w:hint="eastAsia" w:cs="宋体"/>
          <w:bCs/>
          <w:u w:val="single"/>
          <w:lang w:val="en-US" w:eastAsia="zh-CN"/>
        </w:rPr>
        <w:t xml:space="preserve">  </w:t>
      </w:r>
      <w:r>
        <w:rPr>
          <w:rFonts w:cs="宋体"/>
          <w:bCs/>
          <w:u w:val="single"/>
          <w:lang w:eastAsia="zh-CN"/>
        </w:rPr>
        <w:t xml:space="preserve"> </w:t>
      </w:r>
      <w:r>
        <w:rPr>
          <w:rFonts w:hint="eastAsia" w:cs="宋体"/>
          <w:bCs/>
          <w:u w:val="single"/>
          <w:lang w:val="en-US" w:eastAsia="zh-CN"/>
        </w:rPr>
        <w:t>954</w:t>
      </w:r>
      <w:r>
        <w:rPr>
          <w:rFonts w:cs="宋体"/>
          <w:bCs/>
          <w:u w:val="single"/>
          <w:lang w:eastAsia="zh-CN"/>
        </w:rPr>
        <w:t xml:space="preserve">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75730DC3"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342B79D2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6CC7D169">
      <w:pPr>
        <w:pStyle w:val="4"/>
        <w:spacing w:before="0"/>
        <w:rPr>
          <w:rFonts w:hint="eastAsia" w:cs="宋体"/>
          <w:lang w:eastAsia="zh-CN"/>
        </w:rPr>
      </w:pPr>
      <w:r>
        <w:rPr>
          <w:rFonts w:hint="eastAsia" w:cs="宋体"/>
          <w:lang w:eastAsia="zh-CN"/>
        </w:rPr>
        <w:drawing>
          <wp:inline distT="0" distB="0" distL="114300" distR="114300">
            <wp:extent cx="5421630" cy="3995420"/>
            <wp:effectExtent l="0" t="0" r="1270" b="5080"/>
            <wp:docPr id="4" name="图片 4" descr="屏幕截图 2026-03-11 122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6-03-11 1229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163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9230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92AD4D0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28BD0B66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FDC2CA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E0AB966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0D62F14D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26F0774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2B9953E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26ECB9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29B4281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D0FF2FF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DCC69E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 w14:paraId="25B35E84">
      <w:pPr>
        <w:pStyle w:val="4"/>
        <w:ind w:left="0"/>
        <w:rPr>
          <w:rFonts w:hint="eastAsia"/>
          <w:lang w:eastAsia="zh-CN"/>
        </w:rPr>
      </w:pPr>
    </w:p>
    <w:p w14:paraId="5CCA0617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2D0E02CE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eastAsia="zh-CN"/>
        </w:rPr>
        <w:t>6.1.2、</w:t>
      </w:r>
      <w:r>
        <w:rPr>
          <w:rFonts w:hint="eastAsia"/>
          <w:lang w:val="en-US" w:eastAsia="zh-CN"/>
        </w:rPr>
        <w:t>6.2.1、6.2.3、6.2.4条</w:t>
      </w:r>
      <w:r>
        <w:rPr>
          <w:lang w:eastAsia="zh-CN"/>
        </w:rPr>
        <w:t>要求，可得</w:t>
      </w:r>
      <w:r>
        <w:rPr>
          <w:rFonts w:hint="eastAsia"/>
          <w:lang w:val="en-US" w:eastAsia="zh-CN"/>
        </w:rPr>
        <w:t>23</w:t>
      </w:r>
      <w:bookmarkStart w:id="0" w:name="_GoBack"/>
      <w:bookmarkEnd w:id="0"/>
      <w:r>
        <w:rPr>
          <w:lang w:eastAsia="zh-CN"/>
        </w:rPr>
        <w:t>分。</w:t>
      </w:r>
    </w:p>
    <w:p w14:paraId="24CA9D51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03BC3450"/>
    <w:rsid w:val="0EF9124D"/>
    <w:rsid w:val="17907E34"/>
    <w:rsid w:val="2DC53017"/>
    <w:rsid w:val="442666E4"/>
    <w:rsid w:val="4E704DA4"/>
    <w:rsid w:val="7506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748</Words>
  <Characters>832</Characters>
  <Lines>10</Lines>
  <Paragraphs>2</Paragraphs>
  <TotalTime>5</TotalTime>
  <ScaleCrop>false</ScaleCrop>
  <LinksUpToDate>false</LinksUpToDate>
  <CharactersWithSpaces>1107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徐沐</cp:lastModifiedBy>
  <dcterms:modified xsi:type="dcterms:W3CDTF">2026-03-11T04:37:36Z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eyJoZGlkIjoiY2Q1Y2NkZTgyMjU0ZmVkMjM0YzViOWUzZjVkOTdmZDciLCJ1c2VySWQiOiI5NjA2NjExNDIifQ==</vt:lpwstr>
  </property>
  <property fmtid="{D5CDD505-2E9C-101B-9397-08002B2CF9AE}" pid="5" name="KSOProductBuildVer">
    <vt:lpwstr>2052-12.1.0.25222</vt:lpwstr>
  </property>
  <property fmtid="{D5CDD505-2E9C-101B-9397-08002B2CF9AE}" pid="6" name="ICV">
    <vt:lpwstr>4827F521BC8343228115022DEF339527_12</vt:lpwstr>
  </property>
</Properties>
</file>