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969E1">
      <w:pPr>
        <w:widowControl/>
        <w:spacing w:before="450" w:after="150"/>
        <w:jc w:val="center"/>
        <w:outlineLvl w:val="0"/>
        <w:rPr>
          <w:rFonts w:eastAsia="宋体" w:cs="Times New Roman"/>
          <w:b/>
          <w:bCs/>
          <w:caps/>
          <w:color w:val="333333"/>
          <w:spacing w:val="30"/>
          <w:kern w:val="36"/>
          <w:sz w:val="39"/>
          <w:szCs w:val="39"/>
          <w14:ligatures w14:val="none"/>
        </w:rPr>
      </w:pPr>
    </w:p>
    <w:p w14:paraId="61C9223D">
      <w:pPr>
        <w:widowControl/>
        <w:spacing w:before="450" w:after="150"/>
        <w:jc w:val="center"/>
        <w:outlineLvl w:val="0"/>
        <w:rPr>
          <w:rFonts w:eastAsia="宋体" w:cs="Times New Roman"/>
          <w:b/>
          <w:bCs/>
          <w:caps/>
          <w:color w:val="333333"/>
          <w:spacing w:val="30"/>
          <w:kern w:val="36"/>
          <w:sz w:val="39"/>
          <w:szCs w:val="39"/>
          <w14:ligatures w14:val="none"/>
        </w:rPr>
      </w:pPr>
    </w:p>
    <w:p w14:paraId="3BE354EE">
      <w:pPr>
        <w:widowControl/>
        <w:spacing w:before="450" w:after="150"/>
        <w:jc w:val="center"/>
        <w:outlineLvl w:val="0"/>
        <w:rPr>
          <w:rFonts w:eastAsia="宋体" w:cs="Times New Roman"/>
          <w:b/>
          <w:bCs/>
          <w:caps/>
          <w:color w:val="333333"/>
          <w:spacing w:val="30"/>
          <w:kern w:val="36"/>
          <w:sz w:val="39"/>
          <w:szCs w:val="39"/>
          <w14:ligatures w14:val="none"/>
        </w:rPr>
      </w:pPr>
    </w:p>
    <w:p w14:paraId="7551EC9D">
      <w:pPr>
        <w:widowControl/>
        <w:spacing w:before="450" w:after="150"/>
        <w:jc w:val="center"/>
        <w:outlineLvl w:val="0"/>
        <w:rPr>
          <w:rFonts w:eastAsia="宋体" w:cs="Times New Roman"/>
          <w:b/>
          <w:bCs/>
          <w:caps/>
          <w:color w:val="333333"/>
          <w:spacing w:val="30"/>
          <w:kern w:val="36"/>
          <w:sz w:val="39"/>
          <w:szCs w:val="39"/>
          <w14:ligatures w14:val="none"/>
        </w:rPr>
      </w:pPr>
      <w:r>
        <w:rPr>
          <w:rFonts w:eastAsia="宋体" w:cs="Times New Roman"/>
          <w:b/>
          <w:bCs/>
          <w:caps/>
          <w:color w:val="333333"/>
          <w:spacing w:val="30"/>
          <w:kern w:val="36"/>
          <w:sz w:val="39"/>
          <w:szCs w:val="39"/>
          <w14:ligatures w14:val="none"/>
        </w:rPr>
        <w:t>建设项目环境影响报告书</w:t>
      </w:r>
    </w:p>
    <w:p w14:paraId="62EF28A3">
      <w:pPr>
        <w:widowControl/>
        <w:spacing w:before="150" w:after="150"/>
        <w:jc w:val="center"/>
        <w:outlineLvl w:val="1"/>
        <w:rPr>
          <w:rFonts w:eastAsia="宋体" w:cs="Times New Roman"/>
          <w:b/>
          <w:bCs/>
          <w:color w:val="333333"/>
          <w:kern w:val="0"/>
          <w:sz w:val="33"/>
          <w:szCs w:val="33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33"/>
          <w:szCs w:val="33"/>
          <w14:ligatures w14:val="none"/>
        </w:rPr>
        <w:t>（设计阶段 · 绿色建筑专项）</w:t>
      </w:r>
    </w:p>
    <w:p w14:paraId="50FC6137">
      <w:pPr>
        <w:widowControl/>
        <w:spacing w:before="150" w:after="150"/>
        <w:jc w:val="center"/>
        <w:outlineLvl w:val="1"/>
        <w:rPr>
          <w:rFonts w:eastAsia="宋体" w:cs="Times New Roman"/>
          <w:b/>
          <w:bCs/>
          <w:color w:val="333333"/>
          <w:kern w:val="0"/>
          <w:sz w:val="33"/>
          <w:szCs w:val="33"/>
          <w14:ligatures w14:val="none"/>
        </w:rPr>
      </w:pPr>
    </w:p>
    <w:p w14:paraId="20FDD83B">
      <w:pPr>
        <w:widowControl/>
        <w:spacing w:before="150" w:after="150"/>
        <w:jc w:val="center"/>
        <w:outlineLvl w:val="1"/>
        <w:rPr>
          <w:rFonts w:eastAsia="宋体" w:cs="Times New Roman"/>
          <w:b/>
          <w:bCs/>
          <w:color w:val="333333"/>
          <w:kern w:val="0"/>
          <w:sz w:val="33"/>
          <w:szCs w:val="33"/>
          <w14:ligatures w14:val="none"/>
        </w:rPr>
      </w:pPr>
    </w:p>
    <w:p w14:paraId="5972B74D">
      <w:pPr>
        <w:widowControl/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</w:pPr>
    </w:p>
    <w:p w14:paraId="435375BC">
      <w:pPr>
        <w:widowControl/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</w:pPr>
    </w:p>
    <w:p w14:paraId="0A0EE2EE">
      <w:pPr>
        <w:widowControl/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</w:pPr>
    </w:p>
    <w:p w14:paraId="4857D326">
      <w:pPr>
        <w:widowControl/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</w:pPr>
    </w:p>
    <w:p w14:paraId="0FA996F4">
      <w:pPr>
        <w:widowControl/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</w:pPr>
    </w:p>
    <w:p w14:paraId="7FA22B5E">
      <w:pPr>
        <w:widowControl/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</w:pPr>
    </w:p>
    <w:p w14:paraId="796A1483">
      <w:pPr>
        <w:widowControl/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</w:pPr>
    </w:p>
    <w:p w14:paraId="7DE8E318">
      <w:pPr>
        <w:widowControl/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</w:pPr>
    </w:p>
    <w:p w14:paraId="7256F6BF">
      <w:pPr>
        <w:widowControl/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</w:pPr>
    </w:p>
    <w:p w14:paraId="3A27806F">
      <w:pPr>
        <w:widowControl/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</w:pPr>
    </w:p>
    <w:p w14:paraId="324A32AA">
      <w:pPr>
        <w:widowControl/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</w:pPr>
    </w:p>
    <w:p w14:paraId="7EBF70A5">
      <w:pPr>
        <w:widowControl/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</w:pPr>
    </w:p>
    <w:p w14:paraId="3C3C7378">
      <w:pPr>
        <w:widowControl/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</w:pPr>
    </w:p>
    <w:p w14:paraId="0BF6DABF">
      <w:pPr>
        <w:widowControl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  <w:t>项目名称：</w:t>
      </w:r>
      <w:r>
        <w:rPr>
          <w:rFonts w:hint="eastAsia" w:eastAsia="宋体" w:cs="Times New Roman"/>
          <w:b/>
          <w:bCs/>
          <w:color w:val="333333"/>
          <w:kern w:val="0"/>
          <w:sz w:val="27"/>
          <w:szCs w:val="27"/>
          <w14:ligatures w14:val="none"/>
        </w:rPr>
        <w:t>从集成到消解：低碳视角下的层次化建筑系统设计</w:t>
      </w:r>
    </w:p>
    <w:p w14:paraId="18328996">
      <w:pPr>
        <w:widowControl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  <w:t>建设单位：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沈阳大学</w:t>
      </w:r>
    </w:p>
    <w:p w14:paraId="65D4FBCF">
      <w:pPr>
        <w:widowControl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  <w:t>建设地点：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辽宁省沈阳市</w:t>
      </w:r>
    </w:p>
    <w:p w14:paraId="36CD1682">
      <w:pPr>
        <w:widowControl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  <w:t>报告编制日期：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2026年3月7日</w:t>
      </w:r>
    </w:p>
    <w:p w14:paraId="74E538B0">
      <w:pPr>
        <w:widowControl/>
        <w:spacing w:after="180"/>
        <w:rPr>
          <w:rFonts w:eastAsia="宋体" w:cs="Times New Roman"/>
          <w:color w:val="555555"/>
          <w:kern w:val="0"/>
          <w:sz w:val="23"/>
          <w:szCs w:val="23"/>
          <w14:ligatures w14:val="none"/>
        </w:rPr>
      </w:pPr>
      <w:r>
        <w:rPr>
          <w:rFonts w:eastAsia="宋体" w:cs="Times New Roman"/>
          <w:color w:val="555555"/>
          <w:kern w:val="0"/>
          <w:sz w:val="23"/>
          <w:szCs w:val="23"/>
          <w14:ligatures w14:val="none"/>
        </w:rPr>
        <w:t>基于绿色建筑性能模拟分析成果编制</w:t>
      </w:r>
    </w:p>
    <w:p w14:paraId="3CF1BA69">
      <w:pPr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  <w:br w:type="page"/>
      </w:r>
    </w:p>
    <w:p w14:paraId="18BCB260">
      <w:pPr>
        <w:widowControl/>
        <w:pBdr>
          <w:left w:val="single" w:color="2C3E50" w:sz="36" w:space="9"/>
        </w:pBdr>
        <w:shd w:val="clear" w:color="auto" w:fill="F9F9F9"/>
        <w:spacing w:before="450" w:after="225"/>
        <w:jc w:val="left"/>
        <w:outlineLvl w:val="1"/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  <w:t>目录</w:t>
      </w:r>
    </w:p>
    <w:p w14:paraId="1A13B8DC">
      <w:pPr>
        <w:widowControl/>
        <w:numPr>
          <w:ilvl w:val="0"/>
          <w:numId w:val="1"/>
        </w:numPr>
        <w:spacing w:after="75"/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 xml:space="preserve">1. 项目概况 ................. </w:t>
      </w:r>
      <w:r>
        <w:rPr>
          <w:rFonts w:hint="eastAsia" w:eastAsia="宋体" w:cs="Times New Roman"/>
          <w:color w:val="333333"/>
          <w:kern w:val="0"/>
          <w:sz w:val="27"/>
          <w:szCs w:val="27"/>
          <w:lang w:val="en-US" w:eastAsia="zh-CN"/>
          <w14:ligatures w14:val="none"/>
        </w:rPr>
        <w:t>3</w:t>
      </w:r>
    </w:p>
    <w:p w14:paraId="01A79B4E">
      <w:pPr>
        <w:widowControl/>
        <w:numPr>
          <w:ilvl w:val="0"/>
          <w:numId w:val="1"/>
        </w:numPr>
        <w:spacing w:after="75"/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2. 编制依据 ................. 3</w:t>
      </w:r>
    </w:p>
    <w:p w14:paraId="15FDA879">
      <w:pPr>
        <w:widowControl/>
        <w:numPr>
          <w:ilvl w:val="0"/>
          <w:numId w:val="1"/>
        </w:numPr>
        <w:spacing w:after="75"/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 xml:space="preserve">3. 环境现状评价 ............. </w:t>
      </w:r>
      <w:r>
        <w:rPr>
          <w:rFonts w:hint="eastAsia" w:eastAsia="宋体" w:cs="Times New Roman"/>
          <w:color w:val="333333"/>
          <w:kern w:val="0"/>
          <w:sz w:val="27"/>
          <w:szCs w:val="27"/>
          <w:lang w:val="en-US" w:eastAsia="zh-CN"/>
          <w14:ligatures w14:val="none"/>
        </w:rPr>
        <w:t>3</w:t>
      </w:r>
    </w:p>
    <w:p w14:paraId="3F34F915">
      <w:pPr>
        <w:widowControl/>
        <w:numPr>
          <w:ilvl w:val="0"/>
          <w:numId w:val="1"/>
        </w:numPr>
        <w:spacing w:after="75"/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 xml:space="preserve">4. 运营期环境影响分析 ....... </w:t>
      </w:r>
      <w:r>
        <w:rPr>
          <w:rFonts w:hint="eastAsia" w:eastAsia="宋体" w:cs="Times New Roman"/>
          <w:color w:val="333333"/>
          <w:kern w:val="0"/>
          <w:sz w:val="27"/>
          <w:szCs w:val="27"/>
          <w:lang w:val="en-US" w:eastAsia="zh-CN"/>
          <w14:ligatures w14:val="none"/>
        </w:rPr>
        <w:t>4</w:t>
      </w:r>
    </w:p>
    <w:p w14:paraId="6E4478C6">
      <w:pPr>
        <w:widowControl/>
        <w:numPr>
          <w:ilvl w:val="0"/>
          <w:numId w:val="1"/>
        </w:numPr>
        <w:spacing w:after="75"/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 xml:space="preserve">5. 环保措施及效益 ........... </w:t>
      </w:r>
      <w:r>
        <w:rPr>
          <w:rFonts w:hint="eastAsia" w:eastAsia="宋体" w:cs="Times New Roman"/>
          <w:color w:val="333333"/>
          <w:kern w:val="0"/>
          <w:sz w:val="27"/>
          <w:szCs w:val="27"/>
          <w:lang w:val="en-US" w:eastAsia="zh-CN"/>
          <w14:ligatures w14:val="none"/>
        </w:rPr>
        <w:t>6</w:t>
      </w:r>
    </w:p>
    <w:p w14:paraId="53DA39DE">
      <w:pPr>
        <w:widowControl/>
        <w:numPr>
          <w:ilvl w:val="0"/>
          <w:numId w:val="1"/>
        </w:numPr>
        <w:spacing w:after="75"/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 xml:space="preserve">6. 结论 ..................... </w:t>
      </w:r>
      <w:r>
        <w:rPr>
          <w:rFonts w:hint="eastAsia" w:eastAsia="宋体" w:cs="Times New Roman"/>
          <w:color w:val="333333"/>
          <w:kern w:val="0"/>
          <w:sz w:val="27"/>
          <w:szCs w:val="27"/>
          <w:lang w:val="en-US" w:eastAsia="zh-CN"/>
          <w14:ligatures w14:val="none"/>
        </w:rPr>
        <w:t>8</w:t>
      </w:r>
    </w:p>
    <w:p w14:paraId="18BE8F06">
      <w:pPr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  <w:br w:type="page"/>
      </w:r>
    </w:p>
    <w:p w14:paraId="75EACFE3">
      <w:pPr>
        <w:widowControl/>
        <w:pBdr>
          <w:left w:val="single" w:color="2C3E50" w:sz="36" w:space="9"/>
        </w:pBdr>
        <w:shd w:val="clear" w:color="auto" w:fill="F9F9F9"/>
        <w:spacing w:before="450" w:after="225"/>
        <w:jc w:val="left"/>
        <w:outlineLvl w:val="1"/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  <w:t>1 项目概况</w:t>
      </w:r>
    </w:p>
    <w:p w14:paraId="4C363A4A">
      <w:pPr>
        <w:widowControl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本项目为公共建筑（体育·商业综合体），工程代号LJ1，位于辽宁省沈阳市。总建筑面积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2</w:t>
      </w:r>
      <w:r>
        <w:rPr>
          <w:rFonts w:hint="eastAsia"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:lang w:val="en-US" w:eastAsia="zh-CN"/>
          <w14:ligatures w14:val="none"/>
        </w:rPr>
        <w:t>400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 xml:space="preserve"> m²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，其中地上2层，无地下室，建筑高度1</w:t>
      </w:r>
      <w:r>
        <w:rPr>
          <w:rFonts w:hint="eastAsia" w:eastAsia="宋体" w:cs="Times New Roman"/>
          <w:color w:val="333333"/>
          <w:kern w:val="0"/>
          <w:sz w:val="27"/>
          <w:szCs w:val="27"/>
          <w:lang w:val="en-US" w:eastAsia="zh-CN"/>
          <w14:ligatures w14:val="none"/>
        </w:rPr>
        <w:t>4</w:t>
      </w:r>
      <w:bookmarkStart w:id="0" w:name="_GoBack"/>
      <w:bookmarkEnd w:id="0"/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m。主要功能包括休闲空间、体育场、办公室、一般商店、餐厅、贵宾室、裁判房、治疗室、浴室等。项目设计阶段已通过多项绿色建筑性能模拟分析，本报告基于30余份专项分析报告，对运营期的环境影响进行综合评价。</w:t>
      </w:r>
    </w:p>
    <w:p w14:paraId="5767086A">
      <w:pPr>
        <w:widowControl/>
        <w:pBdr>
          <w:left w:val="single" w:color="2C3E50" w:sz="36" w:space="9"/>
        </w:pBdr>
        <w:shd w:val="clear" w:color="auto" w:fill="F9F9F9"/>
        <w:spacing w:before="450" w:after="225"/>
        <w:jc w:val="left"/>
        <w:outlineLvl w:val="1"/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  <w:t>2 编制依据</w:t>
      </w:r>
    </w:p>
    <w:p w14:paraId="26BABB0D">
      <w:pPr>
        <w:widowControl/>
        <w:numPr>
          <w:ilvl w:val="0"/>
          <w:numId w:val="2"/>
        </w:numPr>
        <w:spacing w:after="75"/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《绿色建筑评价标准》GB/T 50378-2019（2024年版）</w:t>
      </w:r>
    </w:p>
    <w:p w14:paraId="64A6B4D1">
      <w:pPr>
        <w:widowControl/>
        <w:numPr>
          <w:ilvl w:val="0"/>
          <w:numId w:val="2"/>
        </w:numPr>
        <w:spacing w:after="75"/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《建筑环境通用规范》GB 55016-2021</w:t>
      </w:r>
    </w:p>
    <w:p w14:paraId="6A73A09F">
      <w:pPr>
        <w:widowControl/>
        <w:numPr>
          <w:ilvl w:val="0"/>
          <w:numId w:val="2"/>
        </w:numPr>
        <w:spacing w:after="75"/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《室内空气质量标准》GB/T 18883-2022</w:t>
      </w:r>
    </w:p>
    <w:p w14:paraId="70E5E6C6">
      <w:pPr>
        <w:widowControl/>
        <w:numPr>
          <w:ilvl w:val="0"/>
          <w:numId w:val="2"/>
        </w:numPr>
        <w:spacing w:after="75"/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《声环境质量标准》GB 3096-2008</w:t>
      </w:r>
    </w:p>
    <w:p w14:paraId="3ED3332A">
      <w:pPr>
        <w:widowControl/>
        <w:numPr>
          <w:ilvl w:val="0"/>
          <w:numId w:val="2"/>
        </w:numPr>
        <w:spacing w:after="75"/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《建筑碳排放计算标准》GB/T 51366-2019</w:t>
      </w:r>
    </w:p>
    <w:p w14:paraId="475EA833">
      <w:pPr>
        <w:widowControl/>
        <w:numPr>
          <w:ilvl w:val="0"/>
          <w:numId w:val="2"/>
        </w:numPr>
        <w:spacing w:after="75"/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本项目各专项分析报告（2025年12月版，北京绿建软件股份有限公司提供）</w:t>
      </w:r>
    </w:p>
    <w:p w14:paraId="1567937B">
      <w:pPr>
        <w:widowControl/>
        <w:pBdr>
          <w:left w:val="single" w:color="2C3E50" w:sz="36" w:space="9"/>
        </w:pBdr>
        <w:shd w:val="clear" w:color="auto" w:fill="F9F9F9"/>
        <w:spacing w:before="450" w:after="225"/>
        <w:jc w:val="left"/>
        <w:outlineLvl w:val="1"/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  <w:t>3 环境现状评价</w:t>
      </w:r>
    </w:p>
    <w:p w14:paraId="41919F30">
      <w:pPr>
        <w:widowControl/>
        <w:spacing w:before="300" w:after="150"/>
        <w:jc w:val="left"/>
        <w:outlineLvl w:val="2"/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  <w:t>3.1 声环境现状</w:t>
      </w:r>
    </w:p>
    <w:p w14:paraId="0A94D58C">
      <w:pPr>
        <w:widowControl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依据《室外噪声模拟分析报告》：场地昼间噪声最大值为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57 dB(A)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，夜间为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45 dB(A)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，满足《声环境质量标准》2类功能区限值（昼间60 dB，夜间50 dB），室外声环境达标。</w:t>
      </w:r>
      <w:r>
        <w:rPr>
          <w:rFonts w:eastAsia="宋体" w:cs="Times New Roman"/>
          <w:color w:val="2C3E50"/>
          <w:kern w:val="0"/>
          <w:sz w:val="20"/>
          <w:szCs w:val="20"/>
          <w:shd w:val="clear" w:color="auto" w:fill="EEF4F8"/>
          <w14:ligatures w14:val="none"/>
        </w:rPr>
        <w:t>(室外噪声模拟分析报告)</w:t>
      </w:r>
    </w:p>
    <w:p w14:paraId="0AD11EEC">
      <w:pPr>
        <w:widowControl/>
        <w:spacing w:before="300" w:after="150"/>
        <w:jc w:val="left"/>
        <w:outlineLvl w:val="2"/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  <w:t>3.2 风环境现状</w:t>
      </w:r>
    </w:p>
    <w:p w14:paraId="139C0D04">
      <w:pPr>
        <w:widowControl/>
        <w:spacing w:after="180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依据《室外风环境模拟分析报告》：</w:t>
      </w:r>
    </w:p>
    <w:p w14:paraId="64AC1EA7">
      <w:pPr>
        <w:widowControl/>
        <w:numPr>
          <w:ilvl w:val="0"/>
          <w:numId w:val="3"/>
        </w:numPr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  <w:t>冬季工况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：人行区1.5m处风速最大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2.67 m/s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（＜5 m/s），户外休息区风速最大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1.43 m/s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（＜2 m/s），风速放大系数 ≤1.26，满足冬季舒适度要求。</w:t>
      </w:r>
    </w:p>
    <w:p w14:paraId="3A20E275">
      <w:pPr>
        <w:widowControl/>
        <w:numPr>
          <w:ilvl w:val="0"/>
          <w:numId w:val="3"/>
        </w:numPr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27"/>
          <w:szCs w:val="27"/>
          <w14:ligatures w14:val="none"/>
        </w:rPr>
        <w:t>夏季/过渡季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：人活动区无涡旋、无风区（风速＞0.2 m/s），建筑外窗表面风压差＞0.5 Pa的面积比例达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54.9%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，有利于自然通风。</w:t>
      </w:r>
      <w:r>
        <w:rPr>
          <w:rFonts w:eastAsia="宋体" w:cs="Times New Roman"/>
          <w:color w:val="2C3E50"/>
          <w:kern w:val="0"/>
          <w:sz w:val="20"/>
          <w:szCs w:val="20"/>
          <w:shd w:val="clear" w:color="auto" w:fill="EEF4F8"/>
          <w14:ligatures w14:val="none"/>
        </w:rPr>
        <w:t>(室外风环境模拟分析报告)</w:t>
      </w:r>
    </w:p>
    <w:p w14:paraId="1A9C6AAA">
      <w:pPr>
        <w:widowControl/>
        <w:pBdr>
          <w:left w:val="single" w:color="2C3E50" w:sz="36" w:space="9"/>
        </w:pBdr>
        <w:shd w:val="clear" w:color="auto" w:fill="F9F9F9"/>
        <w:spacing w:before="450" w:after="225"/>
        <w:jc w:val="left"/>
        <w:outlineLvl w:val="1"/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  <w:t>4 运营期环境影响分析</w:t>
      </w:r>
    </w:p>
    <w:p w14:paraId="7DB4AC28">
      <w:pPr>
        <w:widowControl/>
        <w:spacing w:before="300" w:after="150"/>
        <w:jc w:val="left"/>
        <w:outlineLvl w:val="2"/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  <w:t>4.1 能源消耗</w:t>
      </w:r>
    </w:p>
    <w:p w14:paraId="173D87C6">
      <w:pPr>
        <w:widowControl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根据《建筑全能耗报告书》及《围护结构节能率分析报告》，本项目年综合电耗为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54.39 kWh/㎡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（包含供暖、供冷、照明、风机等）。供暖空调负荷相比国家节能参照建筑降低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17.21%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，优于《建筑节能与可再生能源利用通用规范》要求。</w:t>
      </w:r>
      <w:r>
        <w:rPr>
          <w:rFonts w:eastAsia="宋体" w:cs="Times New Roman"/>
          <w:color w:val="2C3E50"/>
          <w:kern w:val="0"/>
          <w:sz w:val="20"/>
          <w:szCs w:val="20"/>
          <w:shd w:val="clear" w:color="auto" w:fill="EEF4F8"/>
          <w14:ligatures w14:val="none"/>
        </w:rPr>
        <w:t>(围护结构节能率分析报告.docx)</w:t>
      </w:r>
    </w:p>
    <w:tbl>
      <w:tblPr>
        <w:tblStyle w:val="15"/>
        <w:tblW w:w="892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6"/>
        <w:gridCol w:w="2509"/>
        <w:gridCol w:w="3952"/>
      </w:tblGrid>
      <w:tr w14:paraId="3005D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A252F" w:sz="6" w:space="0"/>
              <w:left w:val="single" w:color="1A252F" w:sz="6" w:space="0"/>
              <w:bottom w:val="single" w:color="1A252F" w:sz="6" w:space="0"/>
              <w:right w:val="single" w:color="1A252F" w:sz="6" w:space="0"/>
            </w:tcBorders>
            <w:shd w:val="clear" w:color="auto" w:fill="2C3E50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E8E798B">
            <w:pPr>
              <w:widowControl/>
              <w:jc w:val="center"/>
              <w:rPr>
                <w:rFonts w:eastAsia="宋体" w:cs="Times New Roman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能耗分项</w:t>
            </w:r>
          </w:p>
        </w:tc>
        <w:tc>
          <w:tcPr>
            <w:tcW w:w="0" w:type="auto"/>
            <w:tcBorders>
              <w:top w:val="single" w:color="1A252F" w:sz="6" w:space="0"/>
              <w:left w:val="single" w:color="1A252F" w:sz="6" w:space="0"/>
              <w:bottom w:val="single" w:color="1A252F" w:sz="6" w:space="0"/>
              <w:right w:val="single" w:color="1A252F" w:sz="6" w:space="0"/>
            </w:tcBorders>
            <w:shd w:val="clear" w:color="auto" w:fill="2C3E50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AD98F55">
            <w:pPr>
              <w:widowControl/>
              <w:jc w:val="center"/>
              <w:rPr>
                <w:rFonts w:eastAsia="宋体" w:cs="Times New Roman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数值 (kWh/㎡·a)</w:t>
            </w:r>
          </w:p>
        </w:tc>
        <w:tc>
          <w:tcPr>
            <w:tcW w:w="0" w:type="auto"/>
            <w:tcBorders>
              <w:top w:val="single" w:color="1A252F" w:sz="6" w:space="0"/>
              <w:left w:val="single" w:color="1A252F" w:sz="6" w:space="0"/>
              <w:bottom w:val="single" w:color="1A252F" w:sz="6" w:space="0"/>
              <w:right w:val="single" w:color="1A252F" w:sz="6" w:space="0"/>
            </w:tcBorders>
            <w:shd w:val="clear" w:color="auto" w:fill="2C3E50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75C6E71">
            <w:pPr>
              <w:widowControl/>
              <w:jc w:val="center"/>
              <w:rPr>
                <w:rFonts w:eastAsia="宋体" w:cs="Times New Roman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备注</w:t>
            </w:r>
          </w:p>
        </w:tc>
      </w:tr>
      <w:tr w14:paraId="3B71D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B52F64A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供冷电耗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8BF6220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26.33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1245F89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含冷水机组、水泵、冷却塔</w:t>
            </w:r>
          </w:p>
        </w:tc>
      </w:tr>
      <w:tr w14:paraId="3F5FF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8A74584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供暖电耗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42287B5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46.71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BBD11C8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含锅炉折电、供暖水泵</w:t>
            </w:r>
          </w:p>
        </w:tc>
      </w:tr>
      <w:tr w14:paraId="5856D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F722CF9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空调风机电耗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A343642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10.54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01247BD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新排风、风机盘管</w:t>
            </w:r>
          </w:p>
        </w:tc>
      </w:tr>
      <w:tr w14:paraId="7DD7A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6401647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照明电耗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3A365FB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31.95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E8C0CE7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—</w:t>
            </w:r>
          </w:p>
        </w:tc>
      </w:tr>
      <w:tr w14:paraId="5A413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654AB2A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可再生能源发电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9374A65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-87.50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92DB9E4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光伏发电抵扣</w:t>
            </w:r>
          </w:p>
        </w:tc>
      </w:tr>
    </w:tbl>
    <w:p w14:paraId="131A6920">
      <w:pPr>
        <w:widowControl/>
        <w:spacing w:before="300" w:after="150"/>
        <w:jc w:val="left"/>
        <w:outlineLvl w:val="2"/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  <w:t>4.2 碳排放分析</w:t>
      </w:r>
    </w:p>
    <w:p w14:paraId="773FA11A">
      <w:pPr>
        <w:widowControl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根据《建筑碳排放分析专篇》及《低碳建筑评价报告书》，项目全生命周期（50年）碳排放总量为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118.934 tCO₂e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，单位面积碳排放强度为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0.043 tCO₂/㎡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，年均碳排放强度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1.0 kgCO₂/(㎡·a)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。运行阶段主要排放源为供暖锅炉（烟煤II），年碳排放量约71.55 tCO₂，电力间接碳排放约89.64 tCO₂/a。</w:t>
      </w:r>
      <w:r>
        <w:rPr>
          <w:rFonts w:eastAsia="宋体" w:cs="Times New Roman"/>
          <w:color w:val="2C3E50"/>
          <w:kern w:val="0"/>
          <w:sz w:val="20"/>
          <w:szCs w:val="20"/>
          <w:shd w:val="clear" w:color="auto" w:fill="EEF4F8"/>
          <w14:ligatures w14:val="none"/>
        </w:rPr>
        <w:t>(建筑碳排放分析专篇.docx, 低碳建筑评价报告书.docx)</w:t>
      </w:r>
    </w:p>
    <w:p w14:paraId="5F14504A">
      <w:pPr>
        <w:widowControl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通过光伏发电系统（装机容量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301.6 kWp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），首年发电量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337.04 MWh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，25年总发电量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7939.25 MWh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，预计可减少CO₂排放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4295.1 吨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。</w:t>
      </w:r>
      <w:r>
        <w:rPr>
          <w:rFonts w:eastAsia="宋体" w:cs="Times New Roman"/>
          <w:color w:val="2C3E50"/>
          <w:kern w:val="0"/>
          <w:sz w:val="20"/>
          <w:szCs w:val="20"/>
          <w:shd w:val="clear" w:color="auto" w:fill="EEF4F8"/>
          <w14:ligatures w14:val="none"/>
        </w:rPr>
        <w:t>(光伏发电分析报告.docx)</w:t>
      </w:r>
    </w:p>
    <w:p w14:paraId="29590BD0">
      <w:pPr>
        <w:widowControl/>
        <w:spacing w:before="300" w:after="150"/>
        <w:jc w:val="left"/>
        <w:outlineLvl w:val="2"/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  <w:t>4.3 室内空气质量</w:t>
      </w:r>
    </w:p>
    <w:p w14:paraId="5826F7BD">
      <w:pPr>
        <w:widowControl/>
        <w:spacing w:after="180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依据《污染物浓度预评估》：</w:t>
      </w:r>
    </w:p>
    <w:p w14:paraId="69FAEAF2">
      <w:pPr>
        <w:widowControl/>
        <w:numPr>
          <w:ilvl w:val="0"/>
          <w:numId w:val="4"/>
        </w:numPr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甲醛浓度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0.012 mg/m³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，比国标限值降低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85.1%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。</w:t>
      </w:r>
    </w:p>
    <w:p w14:paraId="5A142539">
      <w:pPr>
        <w:widowControl/>
        <w:numPr>
          <w:ilvl w:val="0"/>
          <w:numId w:val="4"/>
        </w:numPr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苯浓度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0.001 mg/m³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，降低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98.2%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。</w:t>
      </w:r>
    </w:p>
    <w:p w14:paraId="51E4D758">
      <w:pPr>
        <w:widowControl/>
        <w:numPr>
          <w:ilvl w:val="0"/>
          <w:numId w:val="4"/>
        </w:numPr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TVOC浓度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0.163 mg/m³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，降低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72.8%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。</w:t>
      </w:r>
    </w:p>
    <w:p w14:paraId="53262A6D">
      <w:pPr>
        <w:widowControl/>
        <w:numPr>
          <w:ilvl w:val="0"/>
          <w:numId w:val="4"/>
        </w:numPr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PM2.5年均浓度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9.9 μg/m³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，PM10年均浓度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17.0 μg/m³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，远低于《室内空气质量标准》GB/T 18883 限值（PM2.5≤25 μg/m³，PM10≤50 μg/m³）。</w:t>
      </w:r>
      <w:r>
        <w:rPr>
          <w:rFonts w:eastAsia="宋体" w:cs="Times New Roman"/>
          <w:color w:val="2C3E50"/>
          <w:kern w:val="0"/>
          <w:sz w:val="20"/>
          <w:szCs w:val="20"/>
          <w:shd w:val="clear" w:color="auto" w:fill="EEF4F8"/>
          <w14:ligatures w14:val="none"/>
        </w:rPr>
        <w:t>(污染物浓度预评估.docx)</w:t>
      </w:r>
    </w:p>
    <w:p w14:paraId="7A36812B">
      <w:pPr>
        <w:widowControl/>
        <w:spacing w:after="180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室内主要污染物浓度降低比例均超过20%，满足三星级绿色建筑评分要求（得6分）。</w:t>
      </w:r>
    </w:p>
    <w:p w14:paraId="18064C34">
      <w:pPr>
        <w:widowControl/>
        <w:spacing w:before="300" w:after="150"/>
        <w:jc w:val="left"/>
        <w:outlineLvl w:val="2"/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  <w:t>4.4 光环境</w:t>
      </w:r>
    </w:p>
    <w:p w14:paraId="44A62ADA">
      <w:pPr>
        <w:widowControl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根据《不舒适眩光分析报告书》，主要功能房间眩光指数DGI均满足《建筑采光设计标准》GB 50033-2013要求，无眩光污染。采光达标率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100%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，内区采光达标率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100%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。</w:t>
      </w:r>
      <w:r>
        <w:rPr>
          <w:rFonts w:eastAsia="宋体" w:cs="Times New Roman"/>
          <w:color w:val="2C3E50"/>
          <w:kern w:val="0"/>
          <w:sz w:val="20"/>
          <w:szCs w:val="20"/>
          <w:shd w:val="clear" w:color="auto" w:fill="EEF4F8"/>
          <w14:ligatures w14:val="none"/>
        </w:rPr>
        <w:t>(建筑采光分析报告书, 公共建筑内区采光报告)</w:t>
      </w:r>
    </w:p>
    <w:p w14:paraId="35C6BD5F">
      <w:pPr>
        <w:widowControl/>
        <w:spacing w:before="300" w:after="150"/>
        <w:jc w:val="left"/>
        <w:outlineLvl w:val="2"/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  <w:t>4.5 声环境</w:t>
      </w:r>
    </w:p>
    <w:p w14:paraId="245BA6A0">
      <w:pPr>
        <w:widowControl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建筑内部主要功能房间受外部噪声影响最大值昼间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30 dB(A)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，夜间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21 dB(A)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，优于《建筑环境通用规范》GB 55016限值。设备噪声对室内影响均小于限值。</w:t>
      </w:r>
      <w:r>
        <w:rPr>
          <w:rFonts w:eastAsia="宋体" w:cs="Times New Roman"/>
          <w:color w:val="2C3E50"/>
          <w:kern w:val="0"/>
          <w:sz w:val="20"/>
          <w:szCs w:val="20"/>
          <w:shd w:val="clear" w:color="auto" w:fill="EEF4F8"/>
          <w14:ligatures w14:val="none"/>
        </w:rPr>
        <w:t>(室内声环境分析报告.docx)</w:t>
      </w:r>
    </w:p>
    <w:p w14:paraId="6B141C0B">
      <w:pPr>
        <w:widowControl/>
        <w:pBdr>
          <w:left w:val="single" w:color="2C3E50" w:sz="36" w:space="9"/>
        </w:pBdr>
        <w:shd w:val="clear" w:color="auto" w:fill="F9F9F9"/>
        <w:spacing w:before="450" w:after="225"/>
        <w:jc w:val="left"/>
        <w:outlineLvl w:val="1"/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  <w:t>5 环保措施及效益</w:t>
      </w:r>
    </w:p>
    <w:p w14:paraId="7D84BC9E">
      <w:pPr>
        <w:widowControl/>
        <w:spacing w:before="300" w:after="150"/>
        <w:jc w:val="left"/>
        <w:outlineLvl w:val="2"/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  <w:t>5.1 节能与围护结构优化</w:t>
      </w:r>
    </w:p>
    <w:p w14:paraId="6844E585">
      <w:pPr>
        <w:widowControl/>
        <w:numPr>
          <w:ilvl w:val="0"/>
          <w:numId w:val="5"/>
        </w:numPr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外墙传热系数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0.19 W/(㎡·K)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，优于参照建筑45.7%。</w:t>
      </w:r>
    </w:p>
    <w:p w14:paraId="3625FD5A">
      <w:pPr>
        <w:widowControl/>
        <w:numPr>
          <w:ilvl w:val="0"/>
          <w:numId w:val="5"/>
        </w:numPr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屋顶传热系数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0.18 W/(㎡·K)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，优于参照建筑28%。</w:t>
      </w:r>
    </w:p>
    <w:p w14:paraId="6A753DF5">
      <w:pPr>
        <w:widowControl/>
        <w:numPr>
          <w:ilvl w:val="0"/>
          <w:numId w:val="5"/>
        </w:numPr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外窗传热系数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1.20 W/(㎡·K)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，南向外窗优于参照建筑20%。</w:t>
      </w:r>
    </w:p>
    <w:p w14:paraId="2ED6DF29">
      <w:pPr>
        <w:widowControl/>
        <w:numPr>
          <w:ilvl w:val="0"/>
          <w:numId w:val="5"/>
        </w:numPr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冷热源：水冷螺杆机组 COP=5.0，锅炉热效率78%，全热回收效率50%~55%。</w:t>
      </w:r>
      <w:r>
        <w:rPr>
          <w:rFonts w:eastAsia="宋体" w:cs="Times New Roman"/>
          <w:color w:val="2C3E50"/>
          <w:kern w:val="0"/>
          <w:sz w:val="20"/>
          <w:szCs w:val="20"/>
          <w:shd w:val="clear" w:color="auto" w:fill="EEF4F8"/>
          <w14:ligatures w14:val="none"/>
        </w:rPr>
        <w:t>(可再生能源利用报告书, 暖通空调系统能耗节能率分析报告)</w:t>
      </w:r>
    </w:p>
    <w:p w14:paraId="043BE4BE">
      <w:pPr>
        <w:widowControl/>
        <w:spacing w:before="300" w:after="150"/>
        <w:jc w:val="left"/>
        <w:outlineLvl w:val="2"/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  <w:t>5.2 可再生能源利用</w:t>
      </w:r>
    </w:p>
    <w:p w14:paraId="08C2ED06">
      <w:pPr>
        <w:widowControl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屋顶光伏系统面积约1300㎡，采用单晶硅组件，总装机容量301.6 kWp，系统综合效率86.5%。首年发电量337.04 MWh，可满足建筑大部分用电需求，多余电量并入电网。25年累计发电量7939.25 MWh，相当于节约标准煤约2620吨，CO₂减排量约4295吨。</w:t>
      </w:r>
      <w:r>
        <w:rPr>
          <w:rFonts w:eastAsia="宋体" w:cs="Times New Roman"/>
          <w:color w:val="2C3E50"/>
          <w:kern w:val="0"/>
          <w:sz w:val="20"/>
          <w:szCs w:val="20"/>
          <w:shd w:val="clear" w:color="auto" w:fill="EEF4F8"/>
          <w14:ligatures w14:val="none"/>
        </w:rPr>
        <w:t>(光伏发电分析报告.docx)</w:t>
      </w:r>
    </w:p>
    <w:p w14:paraId="390BA1CC">
      <w:pPr>
        <w:widowControl/>
        <w:spacing w:before="300" w:after="150"/>
        <w:jc w:val="left"/>
        <w:outlineLvl w:val="2"/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  <w:t>5.3 自然通风与空气质量</w:t>
      </w:r>
    </w:p>
    <w:p w14:paraId="0E4AE5CE">
      <w:pPr>
        <w:widowControl/>
        <w:numPr>
          <w:ilvl w:val="0"/>
          <w:numId w:val="6"/>
        </w:numPr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过渡季主要功能房间平均换气次数大于2次/h的面积比例达 </w:t>
      </w:r>
      <w:r>
        <w:rPr>
          <w:rFonts w:eastAsia="宋体" w:cs="Times New Roman"/>
          <w:b/>
          <w:bCs/>
          <w:color w:val="C0392B"/>
          <w:kern w:val="0"/>
          <w:sz w:val="27"/>
          <w:szCs w:val="27"/>
          <w:shd w:val="clear" w:color="auto" w:fill="FBE9E7"/>
          <w14:ligatures w14:val="none"/>
        </w:rPr>
        <w:t>92.39%</w:t>
      </w: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，有效改善室内空气品质。</w:t>
      </w:r>
      <w:r>
        <w:rPr>
          <w:rFonts w:eastAsia="宋体" w:cs="Times New Roman"/>
          <w:color w:val="2C3E50"/>
          <w:kern w:val="0"/>
          <w:sz w:val="20"/>
          <w:szCs w:val="20"/>
          <w:shd w:val="clear" w:color="auto" w:fill="EEF4F8"/>
          <w14:ligatures w14:val="none"/>
        </w:rPr>
        <w:t>(公共建筑换气次数计算书.docx)</w:t>
      </w:r>
    </w:p>
    <w:p w14:paraId="6A5EC961">
      <w:pPr>
        <w:widowControl/>
        <w:numPr>
          <w:ilvl w:val="0"/>
          <w:numId w:val="6"/>
        </w:numPr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室内装修材料选用低挥发释放率材料，甲醛、苯、TVOC释放率均为F1级，确保污染物浓度大幅降低。</w:t>
      </w:r>
      <w:r>
        <w:rPr>
          <w:rFonts w:eastAsia="宋体" w:cs="Times New Roman"/>
          <w:color w:val="2C3E50"/>
          <w:kern w:val="0"/>
          <w:sz w:val="20"/>
          <w:szCs w:val="20"/>
          <w:shd w:val="clear" w:color="auto" w:fill="EEF4F8"/>
          <w14:ligatures w14:val="none"/>
        </w:rPr>
        <w:t>(污染物浓度预评估.docx)</w:t>
      </w:r>
    </w:p>
    <w:p w14:paraId="51607B42">
      <w:pPr>
        <w:widowControl/>
        <w:numPr>
          <w:ilvl w:val="0"/>
          <w:numId w:val="6"/>
        </w:numPr>
        <w:spacing w:after="75"/>
        <w:ind w:left="1095"/>
        <w:jc w:val="lef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部分房间设置空气净化器，PM2.5净化效率达90%以上。</w:t>
      </w:r>
    </w:p>
    <w:p w14:paraId="7D6577D4">
      <w:pPr>
        <w:widowControl/>
        <w:spacing w:before="300" w:after="150"/>
        <w:jc w:val="left"/>
        <w:outlineLvl w:val="2"/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  <w:t>5.4 声环境防护</w:t>
      </w:r>
    </w:p>
    <w:p w14:paraId="38B2EC96">
      <w:pPr>
        <w:widowControl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建筑布局合理，主要噪声源（设备间、交通区域）与噪声敏感房间分离。隔墙采用高隔声构造（计权隔声量48 dB），外窗采用真空玻璃（隔声量30 dB以上），确保室内安静。</w:t>
      </w:r>
      <w:r>
        <w:rPr>
          <w:rFonts w:eastAsia="宋体" w:cs="Times New Roman"/>
          <w:color w:val="2C3E50"/>
          <w:kern w:val="0"/>
          <w:sz w:val="20"/>
          <w:szCs w:val="20"/>
          <w:shd w:val="clear" w:color="auto" w:fill="EEF4F8"/>
          <w14:ligatures w14:val="none"/>
        </w:rPr>
        <w:t>(室内声环境分析报告.docx)</w:t>
      </w:r>
    </w:p>
    <w:p w14:paraId="432B17F9">
      <w:pPr>
        <w:widowControl/>
        <w:spacing w:before="300" w:after="150"/>
        <w:jc w:val="left"/>
        <w:outlineLvl w:val="2"/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</w:pPr>
      <w:r>
        <w:rPr>
          <w:rFonts w:eastAsia="宋体" w:cs="Times New Roman"/>
          <w:b/>
          <w:bCs/>
          <w:color w:val="2C3E50"/>
          <w:kern w:val="0"/>
          <w:sz w:val="27"/>
          <w:szCs w:val="27"/>
          <w14:ligatures w14:val="none"/>
        </w:rPr>
        <w:t>5.5 水资源与固废（简要说明）</w:t>
      </w:r>
    </w:p>
    <w:p w14:paraId="6743915C">
      <w:pPr>
        <w:widowControl/>
        <w:spacing w:after="180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本项目设计阶段未提供给排水及固废专项报告，但根据绿色建筑通用要求，预计采用节水器具、雨水回收等措施。建议施工期加强扬尘、噪声、建筑垃圾管理。</w:t>
      </w:r>
    </w:p>
    <w:p w14:paraId="70733807">
      <w:pPr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  <w:br w:type="page"/>
      </w:r>
    </w:p>
    <w:p w14:paraId="262C5176">
      <w:pPr>
        <w:widowControl/>
        <w:pBdr>
          <w:left w:val="single" w:color="2C3E50" w:sz="36" w:space="9"/>
        </w:pBdr>
        <w:shd w:val="clear" w:color="auto" w:fill="F9F9F9"/>
        <w:spacing w:before="450" w:after="225"/>
        <w:jc w:val="left"/>
        <w:outlineLvl w:val="1"/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</w:pPr>
      <w:r>
        <w:rPr>
          <w:rFonts w:eastAsia="宋体" w:cs="Times New Roman"/>
          <w:b/>
          <w:bCs/>
          <w:color w:val="333333"/>
          <w:kern w:val="0"/>
          <w:sz w:val="30"/>
          <w:szCs w:val="30"/>
          <w14:ligatures w14:val="none"/>
        </w:rPr>
        <w:t>6 结论</w:t>
      </w:r>
    </w:p>
    <w:p w14:paraId="0D3DE9F2">
      <w:pPr>
        <w:widowControl/>
        <w:spacing w:after="180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本项目通过高性能围护结构、高效暖通系统、光伏可再生能源以及精细化的室内环境设计，显著降低了运营期的能源消耗和碳排放，同时提供了良好的室内外声环境、风环境和空气质量。主要环保指标如下：</w:t>
      </w:r>
    </w:p>
    <w:tbl>
      <w:tblPr>
        <w:tblStyle w:val="15"/>
        <w:tblW w:w="892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1"/>
        <w:gridCol w:w="2735"/>
        <w:gridCol w:w="2431"/>
      </w:tblGrid>
      <w:tr w14:paraId="5641A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A252F" w:sz="6" w:space="0"/>
              <w:left w:val="single" w:color="1A252F" w:sz="6" w:space="0"/>
              <w:bottom w:val="single" w:color="1A252F" w:sz="6" w:space="0"/>
              <w:right w:val="single" w:color="1A252F" w:sz="6" w:space="0"/>
            </w:tcBorders>
            <w:shd w:val="clear" w:color="auto" w:fill="2C3E50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B44A6BC">
            <w:pPr>
              <w:widowControl/>
              <w:jc w:val="center"/>
              <w:rPr>
                <w:rFonts w:eastAsia="宋体" w:cs="Times New Roman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指标</w:t>
            </w:r>
          </w:p>
        </w:tc>
        <w:tc>
          <w:tcPr>
            <w:tcW w:w="0" w:type="auto"/>
            <w:tcBorders>
              <w:top w:val="single" w:color="1A252F" w:sz="6" w:space="0"/>
              <w:left w:val="single" w:color="1A252F" w:sz="6" w:space="0"/>
              <w:bottom w:val="single" w:color="1A252F" w:sz="6" w:space="0"/>
              <w:right w:val="single" w:color="1A252F" w:sz="6" w:space="0"/>
            </w:tcBorders>
            <w:shd w:val="clear" w:color="auto" w:fill="2C3E50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3BD2827">
            <w:pPr>
              <w:widowControl/>
              <w:jc w:val="center"/>
              <w:rPr>
                <w:rFonts w:eastAsia="宋体" w:cs="Times New Roman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数值</w:t>
            </w:r>
          </w:p>
        </w:tc>
        <w:tc>
          <w:tcPr>
            <w:tcW w:w="0" w:type="auto"/>
            <w:tcBorders>
              <w:top w:val="single" w:color="1A252F" w:sz="6" w:space="0"/>
              <w:left w:val="single" w:color="1A252F" w:sz="6" w:space="0"/>
              <w:bottom w:val="single" w:color="1A252F" w:sz="6" w:space="0"/>
              <w:right w:val="single" w:color="1A252F" w:sz="6" w:space="0"/>
            </w:tcBorders>
            <w:shd w:val="clear" w:color="auto" w:fill="2C3E50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ABA404C">
            <w:pPr>
              <w:widowControl/>
              <w:jc w:val="center"/>
              <w:rPr>
                <w:rFonts w:eastAsia="宋体" w:cs="Times New Roman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标准/要求</w:t>
            </w:r>
          </w:p>
        </w:tc>
      </w:tr>
      <w:tr w14:paraId="75DFB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F785169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供暖空调负荷降低比例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5D7FE6A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17.21%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A47F71C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优于国标</w:t>
            </w:r>
          </w:p>
        </w:tc>
      </w:tr>
      <w:tr w14:paraId="6798B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23F0E28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年均碳排放强度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80ED0FF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1.0 kgCO₂/(㎡·a)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B74B6E2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—</w:t>
            </w:r>
          </w:p>
        </w:tc>
      </w:tr>
      <w:tr w14:paraId="0A8A4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8244BF8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可再生能源发电量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3835A9C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337 MWh/年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137F3A0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替代化石能源</w:t>
            </w:r>
          </w:p>
        </w:tc>
      </w:tr>
      <w:tr w14:paraId="251B4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538426A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室内PM2.5浓度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A58D54C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9.9 μg/m³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CFB7099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≤25 μg/m³</w:t>
            </w:r>
          </w:p>
        </w:tc>
      </w:tr>
      <w:tr w14:paraId="7B5C2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1D6B715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室外昼间噪声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53A6FC1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57 dB(A)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DDE11C2">
            <w:pPr>
              <w:widowControl/>
              <w:jc w:val="left"/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宋体" w:cs="Times New Roman"/>
                <w:color w:val="333333"/>
                <w:kern w:val="0"/>
                <w:sz w:val="23"/>
                <w:szCs w:val="23"/>
                <w14:ligatures w14:val="none"/>
              </w:rPr>
              <w:t>2类区达标</w:t>
            </w:r>
          </w:p>
        </w:tc>
      </w:tr>
    </w:tbl>
    <w:p w14:paraId="1946931A">
      <w:pPr>
        <w:widowControl/>
        <w:spacing w:after="180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综合评价：项目建成后对周边环境影响较小，运营期环境效益显著，符合绿色建筑及环保要求。建议施工期严格落实环境保护措施，并保证光伏系统及节能设备的长期有效运行。</w:t>
      </w:r>
    </w:p>
    <w:p w14:paraId="438604B7">
      <w:pPr>
        <w:widowControl/>
        <w:shd w:val="clear" w:color="auto" w:fill="F0F0F0"/>
        <w:jc w:val="left"/>
        <w:rPr>
          <w:rFonts w:eastAsia="宋体" w:cs="Times New Roman"/>
          <w:color w:val="555555"/>
          <w:kern w:val="0"/>
          <w:sz w:val="21"/>
          <w:szCs w:val="21"/>
          <w14:ligatures w14:val="none"/>
        </w:rPr>
      </w:pPr>
      <w:r>
        <w:rPr>
          <w:rFonts w:eastAsia="宋体" w:cs="Times New Roman"/>
          <w:b/>
          <w:bCs/>
          <w:color w:val="555555"/>
          <w:kern w:val="0"/>
          <w:sz w:val="21"/>
          <w:szCs w:val="21"/>
          <w14:ligatures w14:val="none"/>
        </w:rPr>
        <w:t>注：</w:t>
      </w:r>
      <w:r>
        <w:rPr>
          <w:rFonts w:eastAsia="宋体" w:cs="Times New Roman"/>
          <w:color w:val="555555"/>
          <w:kern w:val="0"/>
          <w:sz w:val="21"/>
          <w:szCs w:val="21"/>
          <w14:ligatures w14:val="none"/>
        </w:rPr>
        <w:t>本报告基于建设单位提供的30余份绿色建筑性能分析报告编制，数据真实有效。报告仅针对运营期环境影响，施工期及固废、水环境影响因资料缺失未做详细分析。</w:t>
      </w:r>
    </w:p>
    <w:p w14:paraId="46CC8CF6">
      <w:pPr>
        <w:widowControl/>
        <w:spacing w:after="180"/>
        <w:jc w:val="righ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</w:p>
    <w:p w14:paraId="6BA8C566">
      <w:pPr>
        <w:widowControl/>
        <w:spacing w:after="180"/>
        <w:jc w:val="righ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</w:p>
    <w:p w14:paraId="3EB77ABC">
      <w:pPr>
        <w:widowControl/>
        <w:spacing w:after="180"/>
        <w:jc w:val="righ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</w:p>
    <w:p w14:paraId="666809FC">
      <w:pPr>
        <w:widowControl/>
        <w:spacing w:after="180"/>
        <w:jc w:val="righ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建设单位：沈阳大学 （盖章）</w:t>
      </w:r>
    </w:p>
    <w:p w14:paraId="4053EC80">
      <w:pPr>
        <w:widowControl/>
        <w:spacing w:after="180"/>
        <w:jc w:val="righ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项目负责人：</w:t>
      </w:r>
      <w:r>
        <w:rPr>
          <w:rFonts w:hint="eastAsia" w:eastAsia="宋体" w:cs="Times New Roman"/>
          <w:color w:val="333333"/>
          <w:kern w:val="0"/>
          <w:sz w:val="27"/>
          <w:szCs w:val="27"/>
          <w:u w:val="single"/>
          <w14:ligatures w14:val="none"/>
        </w:rPr>
        <w:t xml:space="preserve"> 张慧林 </w:t>
      </w:r>
    </w:p>
    <w:p w14:paraId="6EA4D02D">
      <w:pPr>
        <w:widowControl/>
        <w:spacing w:after="180"/>
        <w:jc w:val="right"/>
        <w:rPr>
          <w:rFonts w:eastAsia="宋体" w:cs="Times New Roman"/>
          <w:color w:val="333333"/>
          <w:kern w:val="0"/>
          <w:sz w:val="27"/>
          <w:szCs w:val="27"/>
          <w14:ligatures w14:val="none"/>
        </w:rPr>
      </w:pPr>
      <w:r>
        <w:rPr>
          <w:rFonts w:eastAsia="宋体" w:cs="Times New Roman"/>
          <w:color w:val="333333"/>
          <w:kern w:val="0"/>
          <w:sz w:val="27"/>
          <w:szCs w:val="27"/>
          <w14:ligatures w14:val="none"/>
        </w:rPr>
        <w:t>日期：2026年3月7日</w:t>
      </w:r>
    </w:p>
    <w:p w14:paraId="768A341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E9A58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DBA872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DBA872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728CA"/>
    <w:multiLevelType w:val="multilevel"/>
    <w:tmpl w:val="02C728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13B3974"/>
    <w:multiLevelType w:val="multilevel"/>
    <w:tmpl w:val="113B39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19E7A77"/>
    <w:multiLevelType w:val="multilevel"/>
    <w:tmpl w:val="419E7A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D2D0973"/>
    <w:multiLevelType w:val="multilevel"/>
    <w:tmpl w:val="4D2D09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116032D"/>
    <w:multiLevelType w:val="multilevel"/>
    <w:tmpl w:val="511603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76BA2172"/>
    <w:multiLevelType w:val="multilevel"/>
    <w:tmpl w:val="76BA21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A2"/>
    <w:rsid w:val="001616AD"/>
    <w:rsid w:val="002F73B7"/>
    <w:rsid w:val="00427C84"/>
    <w:rsid w:val="0049025D"/>
    <w:rsid w:val="005261B6"/>
    <w:rsid w:val="006B54FC"/>
    <w:rsid w:val="00A93B6A"/>
    <w:rsid w:val="00BB7391"/>
    <w:rsid w:val="00C134F6"/>
    <w:rsid w:val="00C15911"/>
    <w:rsid w:val="00C905BA"/>
    <w:rsid w:val="00C943D5"/>
    <w:rsid w:val="00DE65A2"/>
    <w:rsid w:val="1B2407A7"/>
    <w:rsid w:val="1D365193"/>
    <w:rsid w:val="1F6E277E"/>
    <w:rsid w:val="30B55C6C"/>
    <w:rsid w:val="3B592798"/>
    <w:rsid w:val="4C392E77"/>
    <w:rsid w:val="4D0B5FEA"/>
    <w:rsid w:val="789A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2283</Words>
  <Characters>2947</Characters>
  <Lines>22</Lines>
  <Paragraphs>6</Paragraphs>
  <TotalTime>1</TotalTime>
  <ScaleCrop>false</ScaleCrop>
  <LinksUpToDate>false</LinksUpToDate>
  <CharactersWithSpaces>3077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2026-03-07T05:09:00Z</dcterms:created>
  <dc:creator>xing yu</dc:creator>
  <cp:lastModifiedBy>徐沐</cp:lastModifiedBy>
  <dcterms:modified xsi:type="dcterms:W3CDTF">2026-03-11T03:09:57Z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eyJoZGlkIjoiY2Q1Y2NkZTgyMjU0ZmVkMjM0YzViOWUzZjVkOTdmZDciLCJ1c2VySWQiOiI5NjA2NjExNDIifQ==</vt:lpwstr>
  </property>
  <property fmtid="{D5CDD505-2E9C-101B-9397-08002B2CF9AE}" pid="3" name="KSOProductBuildVer">
    <vt:lpwstr>2052-12.1.0.25222</vt:lpwstr>
  </property>
  <property fmtid="{D5CDD505-2E9C-101B-9397-08002B2CF9AE}" pid="4" name="ICV">
    <vt:lpwstr>A9EE27D3250A4C778D4F3CF360628340_12</vt:lpwstr>
  </property>
</Properties>
</file>