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A71FF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21924709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6F0EB747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5D4D431B">
      <w:pPr>
        <w:pStyle w:val="5"/>
        <w:ind w:firstLine="400"/>
        <w:rPr>
          <w:rFonts w:hint="eastAsia" w:asciiTheme="majorEastAsia" w:hAnsiTheme="majorEastAsia" w:eastAsiaTheme="majorEastAsia" w:cstheme="majorEastAsia"/>
          <w:sz w:val="36"/>
        </w:rPr>
      </w:pPr>
      <w:r>
        <w:rPr>
          <w:rFonts w:hint="eastAsia" w:asciiTheme="majorEastAsia" w:hAnsiTheme="majorEastAsia" w:eastAsiaTheme="majorEastAsia" w:cstheme="majorEastAsia"/>
          <w:sz w:val="36"/>
        </w:rPr>
        <w:t>从集成到消解：低碳视角下的层次化建筑系统设计</w:t>
      </w:r>
    </w:p>
    <w:p w14:paraId="351A3458">
      <w:pPr>
        <w:pStyle w:val="5"/>
        <w:ind w:firstLine="400"/>
        <w:rPr>
          <w:rFonts w:ascii="Calibri"/>
          <w:sz w:val="20"/>
        </w:rPr>
      </w:pPr>
    </w:p>
    <w:p w14:paraId="53294E18">
      <w:pPr>
        <w:ind w:right="790"/>
        <w:rPr>
          <w:rFonts w:ascii="黑体" w:eastAsia="黑体"/>
          <w:b/>
          <w:bCs/>
          <w:sz w:val="48"/>
        </w:rPr>
      </w:pPr>
    </w:p>
    <w:p w14:paraId="1688809D">
      <w:pPr>
        <w:ind w:right="790"/>
        <w:jc w:val="center"/>
        <w:rPr>
          <w:rFonts w:ascii="黑体" w:eastAsia="黑体"/>
          <w:b/>
          <w:bCs/>
          <w:sz w:val="48"/>
        </w:rPr>
      </w:pPr>
      <w:r>
        <w:rPr>
          <w:rFonts w:hint="eastAsia" w:ascii="黑体" w:eastAsia="黑体"/>
          <w:b/>
          <w:bCs/>
          <w:sz w:val="48"/>
        </w:rPr>
        <w:t>水资源利用方案报告模板</w:t>
      </w:r>
    </w:p>
    <w:p w14:paraId="21450FCD">
      <w:pPr>
        <w:widowControl/>
        <w:jc w:val="left"/>
        <w:rPr>
          <w:rFonts w:ascii="Times New Roman" w:hAnsi="Times New Roman" w:eastAsia="宋体"/>
        </w:rPr>
      </w:pPr>
    </w:p>
    <w:p w14:paraId="541B9A99">
      <w:pPr>
        <w:widowControl/>
        <w:jc w:val="left"/>
        <w:rPr>
          <w:rFonts w:ascii="Times New Roman" w:hAnsi="Times New Roman" w:eastAsia="宋体"/>
        </w:rPr>
      </w:pPr>
    </w:p>
    <w:p w14:paraId="112E7025">
      <w:pPr>
        <w:widowControl/>
        <w:jc w:val="left"/>
        <w:rPr>
          <w:rFonts w:ascii="Times New Roman" w:hAnsi="Times New Roman" w:eastAsia="宋体"/>
        </w:rPr>
      </w:pPr>
    </w:p>
    <w:p w14:paraId="63015A05">
      <w:pPr>
        <w:widowControl/>
        <w:jc w:val="left"/>
        <w:rPr>
          <w:rFonts w:ascii="Times New Roman" w:hAnsi="Times New Roman" w:eastAsia="宋体"/>
        </w:rPr>
      </w:pPr>
    </w:p>
    <w:p w14:paraId="2BCC32FF">
      <w:pPr>
        <w:widowControl/>
        <w:jc w:val="left"/>
        <w:rPr>
          <w:rFonts w:ascii="Times New Roman" w:hAnsi="Times New Roman" w:eastAsia="宋体"/>
        </w:rPr>
      </w:pPr>
    </w:p>
    <w:p w14:paraId="515922F2">
      <w:pPr>
        <w:widowControl/>
        <w:jc w:val="left"/>
        <w:rPr>
          <w:rFonts w:ascii="Times New Roman" w:hAnsi="Times New Roman" w:eastAsia="宋体"/>
        </w:rPr>
      </w:pPr>
    </w:p>
    <w:p w14:paraId="7C659FBA">
      <w:pPr>
        <w:widowControl/>
        <w:jc w:val="left"/>
        <w:rPr>
          <w:rFonts w:ascii="Times New Roman" w:hAnsi="Times New Roman" w:eastAsia="宋体"/>
        </w:rPr>
      </w:pPr>
    </w:p>
    <w:p w14:paraId="275AF9E2">
      <w:pPr>
        <w:widowControl/>
        <w:jc w:val="left"/>
        <w:rPr>
          <w:rFonts w:ascii="Times New Roman" w:hAnsi="Times New Roman" w:eastAsia="宋体"/>
        </w:rPr>
      </w:pPr>
    </w:p>
    <w:p w14:paraId="6A44E8AF">
      <w:pPr>
        <w:widowControl/>
        <w:jc w:val="left"/>
        <w:rPr>
          <w:rFonts w:ascii="Times New Roman" w:hAnsi="Times New Roman" w:eastAsia="宋体"/>
        </w:rPr>
      </w:pPr>
    </w:p>
    <w:p w14:paraId="65974708">
      <w:pPr>
        <w:widowControl/>
        <w:jc w:val="left"/>
        <w:rPr>
          <w:rFonts w:ascii="Times New Roman" w:hAnsi="Times New Roman" w:eastAsia="宋体"/>
        </w:rPr>
      </w:pPr>
    </w:p>
    <w:p w14:paraId="6A952E0C">
      <w:pPr>
        <w:widowControl/>
        <w:jc w:val="left"/>
        <w:rPr>
          <w:rFonts w:ascii="Times New Roman" w:hAnsi="Times New Roman" w:eastAsia="宋体"/>
        </w:rPr>
      </w:pPr>
    </w:p>
    <w:p w14:paraId="2DED4916">
      <w:pPr>
        <w:widowControl/>
        <w:jc w:val="left"/>
        <w:rPr>
          <w:rFonts w:ascii="Times New Roman" w:hAnsi="Times New Roman" w:eastAsia="宋体"/>
        </w:rPr>
      </w:pPr>
    </w:p>
    <w:p w14:paraId="3A51A5C8">
      <w:pPr>
        <w:widowControl/>
        <w:jc w:val="left"/>
        <w:rPr>
          <w:rFonts w:ascii="Times New Roman" w:hAnsi="Times New Roman" w:eastAsia="宋体"/>
        </w:rPr>
      </w:pPr>
    </w:p>
    <w:p w14:paraId="35212C9E">
      <w:pPr>
        <w:widowControl/>
        <w:jc w:val="left"/>
        <w:rPr>
          <w:rFonts w:ascii="Times New Roman" w:hAnsi="Times New Roman" w:eastAsia="宋体"/>
        </w:rPr>
      </w:pPr>
    </w:p>
    <w:p w14:paraId="4012388A">
      <w:pPr>
        <w:widowControl/>
        <w:jc w:val="left"/>
        <w:rPr>
          <w:rFonts w:ascii="Times New Roman" w:hAnsi="Times New Roman" w:eastAsia="宋体"/>
        </w:rPr>
      </w:pPr>
    </w:p>
    <w:p w14:paraId="56565828">
      <w:pPr>
        <w:widowControl/>
        <w:jc w:val="left"/>
        <w:rPr>
          <w:rFonts w:ascii="Times New Roman" w:hAnsi="Times New Roman" w:eastAsia="宋体"/>
        </w:rPr>
      </w:pPr>
    </w:p>
    <w:p w14:paraId="5EC12C3E">
      <w:pPr>
        <w:widowControl/>
        <w:jc w:val="left"/>
        <w:rPr>
          <w:rFonts w:ascii="Times New Roman" w:hAnsi="Times New Roman" w:eastAsia="宋体"/>
        </w:rPr>
      </w:pPr>
    </w:p>
    <w:p w14:paraId="560B9F59">
      <w:pPr>
        <w:widowControl/>
        <w:jc w:val="left"/>
        <w:rPr>
          <w:rFonts w:ascii="Times New Roman" w:hAnsi="Times New Roman" w:eastAsia="宋体"/>
        </w:rPr>
      </w:pPr>
    </w:p>
    <w:p w14:paraId="65C4C709">
      <w:pPr>
        <w:widowControl/>
        <w:jc w:val="left"/>
        <w:rPr>
          <w:rFonts w:ascii="Times New Roman" w:hAnsi="Times New Roman" w:eastAsia="宋体"/>
        </w:rPr>
      </w:pPr>
    </w:p>
    <w:p w14:paraId="71AC0A3C">
      <w:pPr>
        <w:widowControl/>
        <w:jc w:val="left"/>
        <w:rPr>
          <w:rFonts w:ascii="Times New Roman" w:hAnsi="Times New Roman" w:eastAsia="宋体"/>
        </w:rPr>
      </w:pPr>
    </w:p>
    <w:p w14:paraId="2B494BC9">
      <w:pPr>
        <w:widowControl/>
        <w:jc w:val="left"/>
        <w:rPr>
          <w:rFonts w:ascii="Times New Roman" w:hAnsi="Times New Roman" w:eastAsia="宋体"/>
        </w:rPr>
      </w:pPr>
    </w:p>
    <w:p w14:paraId="7C094B6B">
      <w:pPr>
        <w:widowControl/>
        <w:jc w:val="left"/>
        <w:rPr>
          <w:rFonts w:ascii="Times New Roman" w:hAnsi="Times New Roman" w:eastAsia="宋体"/>
        </w:rPr>
      </w:pPr>
    </w:p>
    <w:p w14:paraId="5CE99F60">
      <w:pPr>
        <w:widowControl/>
        <w:jc w:val="left"/>
        <w:rPr>
          <w:rFonts w:ascii="Times New Roman" w:hAnsi="Times New Roman" w:eastAsia="宋体"/>
        </w:rPr>
      </w:pPr>
    </w:p>
    <w:p w14:paraId="3B606B38">
      <w:pPr>
        <w:pStyle w:val="5"/>
        <w:ind w:firstLine="600"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北京绿建软件股份有限公司</w:t>
      </w:r>
    </w:p>
    <w:p w14:paraId="7E877CB3">
      <w:pPr>
        <w:adjustRightInd w:val="0"/>
        <w:snapToGrid w:val="0"/>
        <w:spacing w:before="120"/>
        <w:jc w:val="center"/>
        <w:rPr>
          <w:rFonts w:ascii="微软雅黑" w:hAnsi="微软雅黑" w:eastAsia="微软雅黑"/>
          <w:sz w:val="24"/>
        </w:rPr>
      </w:pPr>
      <w:r>
        <w:rPr>
          <w:rFonts w:ascii="Times New Roman" w:hAnsi="Times New Roman" w:eastAsia="黑体" w:cs="Times New Roman"/>
          <w:sz w:val="30"/>
          <w:szCs w:val="30"/>
        </w:rPr>
        <w:t>202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6</w:t>
      </w:r>
      <w:r>
        <w:rPr>
          <w:rFonts w:ascii="Times New Roman" w:hAnsi="Times New Roman" w:eastAsia="黑体" w:cs="Times New Roman"/>
          <w:sz w:val="30"/>
          <w:szCs w:val="30"/>
        </w:rPr>
        <w:t xml:space="preserve"> 年 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 xml:space="preserve">3 </w:t>
      </w:r>
      <w:r>
        <w:rPr>
          <w:rFonts w:ascii="Times New Roman" w:hAnsi="Times New Roman" w:eastAsia="黑体" w:cs="Times New Roman"/>
          <w:sz w:val="30"/>
          <w:szCs w:val="30"/>
        </w:rPr>
        <w:t>月</w:t>
      </w:r>
    </w:p>
    <w:p w14:paraId="5EC9C66C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29845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42CE6862">
          <w:pPr>
            <w:pStyle w:val="25"/>
            <w:jc w:val="center"/>
          </w:pPr>
          <w:r>
            <w:rPr>
              <w:lang w:val="zh-CN"/>
            </w:rPr>
            <w:t>目录</w:t>
          </w:r>
        </w:p>
        <w:p w14:paraId="48445609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_Toc30087 </w:instrText>
          </w:r>
          <w: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一、 </w:t>
          </w:r>
          <w:r>
            <w:rPr>
              <w:rFonts w:hint="eastAsia" w:ascii="Times New Roman" w:hAnsi="Times New Roman" w:eastAsia="宋体"/>
            </w:rPr>
            <w:t>项目概况</w:t>
          </w:r>
          <w:r>
            <w:tab/>
          </w:r>
          <w:r>
            <w:fldChar w:fldCharType="begin"/>
          </w:r>
          <w:r>
            <w:instrText xml:space="preserve"> PAGEREF _Toc30087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42DAAED"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_Toc27692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二、 </w:t>
          </w:r>
          <w:r>
            <w:rPr>
              <w:rFonts w:hint="eastAsia" w:ascii="Times New Roman" w:hAnsi="Times New Roman" w:eastAsia="宋体"/>
            </w:rPr>
            <w:t>政策及环境分析</w:t>
          </w:r>
          <w:r>
            <w:tab/>
          </w:r>
          <w:r>
            <w:fldChar w:fldCharType="begin"/>
          </w:r>
          <w:r>
            <w:instrText xml:space="preserve"> PAGEREF _Toc27692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62EEE27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_Toc6943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2.1政策要求</w:t>
          </w:r>
          <w:r>
            <w:tab/>
          </w:r>
          <w:r>
            <w:fldChar w:fldCharType="begin"/>
          </w:r>
          <w:r>
            <w:instrText xml:space="preserve"> PAGEREF _Toc6943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166FA19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_Toc9291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2.2水资源状况</w:t>
          </w:r>
          <w:r>
            <w:tab/>
          </w:r>
          <w:r>
            <w:fldChar w:fldCharType="begin"/>
          </w:r>
          <w:r>
            <w:instrText xml:space="preserve"> PAGEREF _Toc9291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90E22C7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2.3气象资料</w:t>
          </w:r>
          <w:r>
            <w:tab/>
          </w:r>
          <w:r>
            <w:fldChar w:fldCharType="begin"/>
          </w:r>
          <w:r>
            <w:instrText xml:space="preserve"> PAGEREF _Toc6827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BC7C119"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_Toc17936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四、 </w:t>
          </w:r>
          <w:r>
            <w:rPr>
              <w:rFonts w:hint="eastAsia" w:ascii="Times New Roman" w:hAnsi="Times New Roman" w:eastAsia="宋体"/>
            </w:rPr>
            <w:t>用水量估算</w:t>
          </w:r>
          <w:r>
            <w:tab/>
          </w:r>
          <w:r>
            <w:fldChar w:fldCharType="begin"/>
          </w:r>
          <w:r>
            <w:instrText xml:space="preserve"> PAGEREF _Toc17936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066CC52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3.1 用水定额</w:t>
          </w:r>
          <w:r>
            <w:tab/>
          </w:r>
          <w:r>
            <w:fldChar w:fldCharType="begin"/>
          </w:r>
          <w:r>
            <w:instrText xml:space="preserve"> PAGEREF _Toc3007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7CF8535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_Toc18635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3.2 用水量估算</w:t>
          </w:r>
          <w:r>
            <w:tab/>
          </w:r>
          <w:r>
            <w:fldChar w:fldCharType="begin"/>
          </w:r>
          <w:r>
            <w:instrText xml:space="preserve"> PAGEREF _Toc18635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5038EA4"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_Toc30289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五、 </w:t>
          </w:r>
          <w:r>
            <w:rPr>
              <w:rFonts w:hint="eastAsia" w:ascii="Times New Roman" w:hAnsi="Times New Roman" w:eastAsia="宋体"/>
            </w:rPr>
            <w:t>节水策略</w:t>
          </w:r>
          <w:r>
            <w:tab/>
          </w:r>
          <w:r>
            <w:fldChar w:fldCharType="begin"/>
          </w:r>
          <w:r>
            <w:instrText xml:space="preserve"> PAGEREF _Toc30289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8309CA1"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_Toc21229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六、 </w:t>
          </w:r>
          <w:r>
            <w:rPr>
              <w:rFonts w:hint="eastAsia" w:ascii="Times New Roman" w:hAnsi="Times New Roman" w:eastAsia="宋体"/>
            </w:rPr>
            <w:t>给排水系统设计方案</w:t>
          </w:r>
          <w:r>
            <w:tab/>
          </w:r>
          <w:r>
            <w:fldChar w:fldCharType="begin"/>
          </w:r>
          <w:r>
            <w:instrText xml:space="preserve"> PAGEREF _Toc21229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367447F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_Toc5117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5.1 生活给水系统</w:t>
          </w:r>
          <w:r>
            <w:tab/>
          </w:r>
          <w:r>
            <w:fldChar w:fldCharType="begin"/>
          </w:r>
          <w:r>
            <w:instrText xml:space="preserve"> PAGEREF _Toc5117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1F877D8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_Toc30930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5.2 生活排水系统</w:t>
          </w:r>
          <w:r>
            <w:tab/>
          </w:r>
          <w:r>
            <w:fldChar w:fldCharType="begin"/>
          </w:r>
          <w:r>
            <w:instrText xml:space="preserve"> PAGEREF _Toc30930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D225FDE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5.3 雨水排水系统</w:t>
          </w:r>
          <w:r>
            <w:tab/>
          </w:r>
          <w:r>
            <w:fldChar w:fldCharType="begin"/>
          </w:r>
          <w:r>
            <w:instrText xml:space="preserve"> PAGEREF _Toc3123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B24A54E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_Toc7843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5.4 管材与配件</w:t>
          </w:r>
          <w:r>
            <w:tab/>
          </w:r>
          <w:r>
            <w:fldChar w:fldCharType="begin"/>
          </w:r>
          <w:r>
            <w:instrText xml:space="preserve"> PAGEREF _Toc7843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B73AA3E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5.5 阀门及附件</w:t>
          </w:r>
          <w:r>
            <w:tab/>
          </w:r>
          <w:r>
            <w:fldChar w:fldCharType="begin"/>
          </w:r>
          <w:r>
            <w:instrText xml:space="preserve"> PAGEREF _Toc2826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6C18713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_Toc32356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/>
            </w:rPr>
            <w:t>5.6 卫生洁具及附件</w:t>
          </w:r>
          <w:r>
            <w:tab/>
          </w:r>
          <w:r>
            <w:fldChar w:fldCharType="begin"/>
          </w:r>
          <w:r>
            <w:instrText xml:space="preserve"> PAGEREF _Toc32356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2D7DD77"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_Toc20373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七、 </w:t>
          </w:r>
          <w:r>
            <w:rPr>
              <w:rFonts w:hint="eastAsia" w:ascii="Times New Roman" w:hAnsi="Times New Roman" w:eastAsia="宋体"/>
            </w:rPr>
            <w:t>非传统水源利用方案</w:t>
          </w:r>
          <w:r>
            <w:tab/>
          </w:r>
          <w:r>
            <w:fldChar w:fldCharType="begin"/>
          </w:r>
          <w:r>
            <w:instrText xml:space="preserve"> PAGEREF _Toc20373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97D236F"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_Toc7030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八、 </w:t>
          </w:r>
          <w:r>
            <w:rPr>
              <w:rFonts w:hint="eastAsia" w:ascii="Times New Roman" w:hAnsi="Times New Roman" w:eastAsia="宋体"/>
            </w:rPr>
            <w:t>水量平衡</w:t>
          </w:r>
          <w:r>
            <w:tab/>
          </w:r>
          <w:r>
            <w:fldChar w:fldCharType="begin"/>
          </w:r>
          <w:r>
            <w:instrText xml:space="preserve"> PAGEREF _Toc7030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0ABCD2C">
          <w:r>
            <w:rPr>
              <w:bCs/>
              <w:lang w:val="zh-CN"/>
            </w:rPr>
            <w:fldChar w:fldCharType="end"/>
          </w:r>
        </w:p>
      </w:sdtContent>
    </w:sdt>
    <w:p w14:paraId="7EF82AB1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6D5E4B29">
      <w:pPr>
        <w:pStyle w:val="3"/>
        <w:numPr>
          <w:ilvl w:val="0"/>
          <w:numId w:val="1"/>
        </w:numPr>
        <w:rPr>
          <w:rFonts w:ascii="Times New Roman" w:hAnsi="Times New Roman" w:eastAsia="宋体"/>
        </w:rPr>
      </w:pPr>
      <w:bookmarkStart w:id="0" w:name="_Toc30087"/>
      <w:r>
        <w:rPr>
          <w:rFonts w:hint="eastAsia" w:ascii="Times New Roman" w:hAnsi="Times New Roman" w:eastAsia="宋体"/>
        </w:rPr>
        <w:t>项目概况</w:t>
      </w:r>
      <w:bookmarkEnd w:id="0"/>
    </w:p>
    <w:p w14:paraId="4F5C3F2D">
      <w:pPr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本项目为从集成到消解：低碳视角下的层次化建筑系统设计</w:t>
      </w:r>
    </w:p>
    <w:p w14:paraId="15CDDB29">
      <w:pPr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位于辽宁省沈阳市，由沈阳大学担任建设单位和设计单位。项目为公共建筑，总建筑面积2400.13㎡，无地下室，地上2层，建筑高度10.2m。主要功能包括休闲空间、体育场、办公室、商店、餐厅、贵宾室、裁判房、治疗室及浴室等。项目致力于绿色建筑设计，注重水资源节约与高效利用，拟通过节水器具、合理供水及雨水回收利用等措施，降低市政自来水消耗，提高非传统水源利用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3810" b="635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E066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项目效果图</w:t>
      </w:r>
    </w:p>
    <w:p w14:paraId="637E0042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15BE60B4">
      <w:pPr>
        <w:pStyle w:val="3"/>
        <w:numPr>
          <w:ilvl w:val="0"/>
          <w:numId w:val="1"/>
        </w:numPr>
        <w:rPr>
          <w:rFonts w:ascii="Times New Roman" w:hAnsi="Times New Roman" w:eastAsia="宋体"/>
        </w:rPr>
      </w:pPr>
      <w:bookmarkStart w:id="1" w:name="_Toc27692"/>
      <w:r>
        <w:rPr>
          <w:rFonts w:hint="eastAsia" w:ascii="Times New Roman" w:hAnsi="Times New Roman" w:eastAsia="宋体"/>
        </w:rPr>
        <w:t>政策及环境分析</w:t>
      </w:r>
      <w:bookmarkEnd w:id="1"/>
    </w:p>
    <w:p w14:paraId="4616387A">
      <w:pPr>
        <w:pStyle w:val="4"/>
        <w:rPr>
          <w:rFonts w:ascii="Times New Roman" w:hAnsi="Times New Roman" w:eastAsia="宋体"/>
        </w:rPr>
      </w:pPr>
      <w:bookmarkStart w:id="2" w:name="_Toc6943"/>
      <w:r>
        <w:rPr>
          <w:rFonts w:hint="eastAsia" w:ascii="Times New Roman" w:hAnsi="Times New Roman" w:eastAsia="宋体"/>
        </w:rPr>
        <w:t>2.1政策要求</w:t>
      </w:r>
      <w:bookmarkEnd w:id="2"/>
    </w:p>
    <w:p w14:paraId="047BF787">
      <w:pPr>
        <w:spacing w:line="400" w:lineRule="exact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根据《沈阳市城市供水用水管理条例》和《沈阳市节约用水条例》，沈阳市对新建、改建、扩建建设项目要求配套建设节水设施，并与主体工程同时设计、同时施工、同时投入使用。用水单位应当采用节水型工艺、设备和器具，加强用水计量管理，提高水的重复利用率。本项目积极响应地方政策，设计中贯彻节水理念，采用高效节水器具，并规划雨水回收利用系统，以降低市政供水量。</w:t>
      </w:r>
    </w:p>
    <w:p w14:paraId="4AD0C9CF">
      <w:pPr>
        <w:pStyle w:val="4"/>
        <w:rPr>
          <w:rFonts w:ascii="Times New Roman" w:hAnsi="Times New Roman" w:eastAsia="宋体"/>
        </w:rPr>
      </w:pPr>
      <w:bookmarkStart w:id="3" w:name="_Toc9291"/>
      <w:r>
        <w:rPr>
          <w:rFonts w:hint="eastAsia" w:ascii="Times New Roman" w:hAnsi="Times New Roman" w:eastAsia="宋体"/>
        </w:rPr>
        <w:t>2.2水资源状况</w:t>
      </w:r>
      <w:bookmarkEnd w:id="3"/>
    </w:p>
    <w:p w14:paraId="737D244D">
      <w:pPr>
        <w:spacing w:line="400" w:lineRule="exact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沈阳市地处辽河流域中下游，属于北方缺水地区。全市多年平均水资源总量约32.7亿m³，人均水资源量不足400m³，为重度缺水城市。城市供水以地表水和地下水联合调度为主，部分区域依赖大伙房水库引水。随着城市发展，水资源供需矛盾日益突出，节约用水、非传统水源利用成为缓解水资源压力的重要途径。</w:t>
      </w:r>
    </w:p>
    <w:p w14:paraId="5A4AC937">
      <w:pPr>
        <w:pStyle w:val="4"/>
        <w:keepNext w:val="0"/>
        <w:keepLines w:val="0"/>
        <w:widowControl/>
        <w:suppressLineNumbers w:val="0"/>
        <w:spacing w:before="200" w:beforeAutospacing="0" w:after="100" w:afterAutospacing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8"/>
          <w:szCs w:val="18"/>
        </w:rPr>
      </w:pPr>
      <w:bookmarkStart w:id="4" w:name="_Toc6827"/>
      <w:r>
        <w:rPr>
          <w:rFonts w:hint="eastAsia" w:ascii="Times New Roman" w:hAnsi="Times New Roman" w:eastAsia="宋体"/>
        </w:rPr>
        <w:t>2.3气象资料</w:t>
      </w:r>
      <w:bookmarkEnd w:id="4"/>
    </w:p>
    <w:p w14:paraId="7C7FE580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沈阳市属于寒冷地区，具有典型的大陆性季风气候特征，四季分明，冬季寒冷干燥，夏季炎热多雨。根据近30年气象资料统计，年平均气温8.1℃，年平均降水量约626mm，降水主要集中在6~9月，占全年降水量的70%以上。年平均蒸发量约1065mm。逐月降雨量和蒸发量见表2.3-1和表2.3-2。</w:t>
      </w:r>
    </w:p>
    <w:p w14:paraId="58ABD193">
      <w:pPr>
        <w:jc w:val="center"/>
        <w:rPr>
          <w:rFonts w:hint="eastAsia"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表2.3-1 沈阳市区多年平均逐月降雨量（单位：毫米）</w:t>
      </w: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8"/>
        <w:gridCol w:w="1013"/>
        <w:gridCol w:w="1013"/>
        <w:gridCol w:w="1109"/>
        <w:gridCol w:w="1109"/>
        <w:gridCol w:w="1109"/>
        <w:gridCol w:w="1109"/>
      </w:tblGrid>
      <w:tr w14:paraId="1BBA9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CA8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月份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DF56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88D7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3E5E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FF5E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22CA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1F14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6月</w:t>
            </w:r>
          </w:p>
        </w:tc>
      </w:tr>
      <w:tr w14:paraId="358B0E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915C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降雨量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7913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9E32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7.0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1984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15.0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6089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35.0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028B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55BC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80.0</w:t>
            </w:r>
          </w:p>
        </w:tc>
      </w:tr>
    </w:tbl>
    <w:p w14:paraId="14C58803">
      <w:pPr>
        <w:rPr>
          <w:vanish/>
          <w:sz w:val="24"/>
          <w:szCs w:val="24"/>
        </w:rPr>
      </w:pP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5"/>
        <w:gridCol w:w="974"/>
        <w:gridCol w:w="973"/>
        <w:gridCol w:w="822"/>
        <w:gridCol w:w="902"/>
        <w:gridCol w:w="2499"/>
        <w:gridCol w:w="685"/>
      </w:tblGrid>
      <w:tr w14:paraId="07597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A054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月份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9821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7月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1468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528A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F9D6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10月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AEE4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11月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6BF5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12月</w:t>
            </w:r>
          </w:p>
        </w:tc>
      </w:tr>
      <w:tr w14:paraId="69C1D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7841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降雨量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AD3E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160.0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D5F4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150.0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C1C0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65.0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A4A4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35.0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527E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15.0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5B41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8.0</w:t>
            </w:r>
          </w:p>
        </w:tc>
      </w:tr>
      <w:tr w14:paraId="7E1E4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0DC1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注：多年年平均降雨量为626.0mm，一年一遇日最大降雨量约51.8mm。</w:t>
            </w:r>
          </w:p>
        </w:tc>
        <w:tc>
          <w:tcPr>
            <w:tcW w:w="685" w:type="dxa"/>
            <w:shd w:val="clear"/>
            <w:vAlign w:val="center"/>
          </w:tcPr>
          <w:p w14:paraId="07519800"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</w:tbl>
    <w:p w14:paraId="0D05F301">
      <w:pPr>
        <w:jc w:val="center"/>
        <w:rPr>
          <w:rFonts w:hint="eastAsia"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表2.3-2 沈阳市近30年月平均蒸发量（单位：毫米）</w:t>
      </w: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5"/>
        <w:gridCol w:w="1064"/>
        <w:gridCol w:w="1064"/>
        <w:gridCol w:w="1064"/>
        <w:gridCol w:w="1064"/>
        <w:gridCol w:w="1064"/>
        <w:gridCol w:w="1065"/>
      </w:tblGrid>
      <w:tr w14:paraId="174AC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6D35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月份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6025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66BC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97C8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4880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5921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E686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6月</w:t>
            </w:r>
          </w:p>
        </w:tc>
      </w:tr>
      <w:tr w14:paraId="5321A4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6ECF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蒸发量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BD7D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E24B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B962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96FA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8903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7F90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160</w:t>
            </w:r>
          </w:p>
        </w:tc>
      </w:tr>
    </w:tbl>
    <w:p w14:paraId="6637798D">
      <w:pPr>
        <w:rPr>
          <w:vanish/>
          <w:sz w:val="24"/>
          <w:szCs w:val="24"/>
        </w:rPr>
      </w:pP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76"/>
        <w:gridCol w:w="985"/>
        <w:gridCol w:w="985"/>
        <w:gridCol w:w="985"/>
        <w:gridCol w:w="1183"/>
        <w:gridCol w:w="1183"/>
        <w:gridCol w:w="1183"/>
      </w:tblGrid>
      <w:tr w14:paraId="155D7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B0A8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月份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F3E6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7月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3845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26D5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3033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10月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14D2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11月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E49C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12月</w:t>
            </w:r>
          </w:p>
        </w:tc>
      </w:tr>
      <w:tr w14:paraId="79ED2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B9F0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蒸发量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49B3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E7FE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33C9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759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7CB6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D8D8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</w:t>
            </w:r>
          </w:p>
        </w:tc>
      </w:tr>
    </w:tbl>
    <w:p w14:paraId="1C2768A5">
      <w:pPr>
        <w:pStyle w:val="3"/>
        <w:numPr>
          <w:ilvl w:val="0"/>
          <w:numId w:val="1"/>
        </w:numPr>
        <w:rPr>
          <w:rFonts w:hint="eastAsia" w:ascii="Times New Roman" w:hAnsi="Times New Roman" w:eastAsia="宋体"/>
        </w:rPr>
      </w:pPr>
      <w:bookmarkStart w:id="5" w:name="_Toc17936"/>
      <w:r>
        <w:rPr>
          <w:rFonts w:hint="eastAsia" w:ascii="Times New Roman" w:hAnsi="Times New Roman" w:eastAsia="宋体"/>
        </w:rPr>
        <w:t>用水量估算</w:t>
      </w:r>
      <w:bookmarkEnd w:id="5"/>
    </w:p>
    <w:p w14:paraId="556951C1">
      <w:pPr>
        <w:pStyle w:val="4"/>
        <w:keepNext w:val="0"/>
        <w:keepLines w:val="0"/>
        <w:widowControl/>
        <w:suppressLineNumbers w:val="0"/>
        <w:spacing w:before="200" w:beforeAutospacing="0" w:after="100" w:afterAutospacing="0"/>
        <w:ind w:left="0" w:firstLine="0"/>
        <w:rPr>
          <w:rFonts w:hint="eastAsia" w:ascii="Times New Roman" w:hAnsi="Times New Roman" w:eastAsia="宋体"/>
        </w:rPr>
      </w:pPr>
      <w:bookmarkStart w:id="6" w:name="_Toc3007"/>
      <w:r>
        <w:rPr>
          <w:rFonts w:hint="eastAsia" w:ascii="Times New Roman" w:hAnsi="Times New Roman" w:eastAsia="宋体"/>
        </w:rPr>
        <w:t>3.1 用水定额</w:t>
      </w:r>
      <w:bookmarkEnd w:id="6"/>
    </w:p>
    <w:p w14:paraId="5261DF85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根据《民用建筑节水设计标准》GB 50555-2010，结合本项目功能分区及当地节水要求，确定各类用水平均日节水用水定额如下：</w:t>
      </w:r>
    </w:p>
    <w:p w14:paraId="0457AD4F">
      <w:pPr>
        <w:jc w:val="center"/>
        <w:rPr>
          <w:rFonts w:hint="eastAsia"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表3.1-1 平均日生活用水节水用水定额</w:t>
      </w: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6"/>
        <w:gridCol w:w="2191"/>
        <w:gridCol w:w="1191"/>
        <w:gridCol w:w="702"/>
        <w:gridCol w:w="1745"/>
        <w:gridCol w:w="1745"/>
      </w:tblGrid>
      <w:tr w14:paraId="3BAF5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9705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3195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建筑类型及卫生器具设置标准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38FF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节水用水定额qg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374B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AD0D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本项目取值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5349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 w14:paraId="48DE5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A6BE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1F65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办公室（含裁判、治疗、贵宾）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7D47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30~50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D3AE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L/人·d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C950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928F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平均日</w:t>
            </w:r>
          </w:p>
        </w:tc>
      </w:tr>
      <w:tr w14:paraId="19F969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1C6C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921F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一般商店（商场）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AFDE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5~8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382E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C9E2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55E1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按营业面积</w:t>
            </w:r>
          </w:p>
        </w:tc>
      </w:tr>
      <w:tr w14:paraId="0D9F8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50A3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D9FC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餐饮（餐厅、快餐、酒吧茶座）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3B95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15~25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FBB8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L/人·餐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8208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20（每人每日按2餐计）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96BC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综合定额40L/人·d</w:t>
            </w:r>
          </w:p>
        </w:tc>
      </w:tr>
      <w:tr w14:paraId="3D2FB4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B765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CA30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体育场馆（含运动、淋浴）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0D8F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40~60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2484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L/人·d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19A0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633E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考虑淋浴需求</w:t>
            </w:r>
          </w:p>
        </w:tc>
      </w:tr>
      <w:tr w14:paraId="11917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7258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666C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公共浴室（淋浴）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A514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80~120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C5E0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L/人·次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62BD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13EE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按每日一次计</w:t>
            </w:r>
          </w:p>
        </w:tc>
      </w:tr>
      <w:tr w14:paraId="37AD7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65DD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ADF7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休闲空间（大厅、休息厅）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6C4B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2~4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DDDB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4724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3C43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主要考虑清洁及少量用水</w:t>
            </w:r>
          </w:p>
        </w:tc>
      </w:tr>
      <w:tr w14:paraId="0BD86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2D46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6288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绿化灌溉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9BD5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1~2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4399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E037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C89B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按实际频次</w:t>
            </w:r>
          </w:p>
        </w:tc>
      </w:tr>
      <w:tr w14:paraId="1DB34C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E0B4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1E8B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道路及广场冲洗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683E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1~2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A04F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DB9B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D4D9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按实际频次</w:t>
            </w:r>
          </w:p>
        </w:tc>
      </w:tr>
      <w:tr w14:paraId="4A772E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995E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D975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停车场冲洗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4FF2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2~3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C46C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9396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9FBC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按实际频次</w:t>
            </w:r>
          </w:p>
        </w:tc>
      </w:tr>
    </w:tbl>
    <w:p w14:paraId="004FB8EB">
      <w:pPr>
        <w:pStyle w:val="4"/>
        <w:keepNext w:val="0"/>
        <w:keepLines w:val="0"/>
        <w:widowControl/>
        <w:suppressLineNumbers w:val="0"/>
        <w:spacing w:before="200" w:beforeAutospacing="0" w:after="100" w:afterAutospacing="0"/>
        <w:ind w:left="0" w:firstLine="0"/>
        <w:rPr>
          <w:rFonts w:hint="eastAsia" w:ascii="Times New Roman" w:hAnsi="Times New Roman" w:eastAsia="宋体"/>
        </w:rPr>
      </w:pPr>
      <w:bookmarkStart w:id="7" w:name="_Toc18635"/>
      <w:r>
        <w:rPr>
          <w:rFonts w:hint="eastAsia" w:ascii="Times New Roman" w:hAnsi="Times New Roman" w:eastAsia="宋体"/>
        </w:rPr>
        <w:t>3.2 用水量估算</w:t>
      </w:r>
      <w:bookmarkEnd w:id="7"/>
    </w:p>
    <w:p w14:paraId="6416BA91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根据建筑图纸及功能分区，各类用水单位数量及用水量估算如下：</w:t>
      </w:r>
    </w:p>
    <w:p w14:paraId="6FC5C8A3">
      <w:pPr>
        <w:jc w:val="center"/>
        <w:rPr>
          <w:rFonts w:hint="eastAsia"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表3.2-1 各类用水单位数量统计</w:t>
      </w: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05"/>
        <w:gridCol w:w="3280"/>
        <w:gridCol w:w="780"/>
        <w:gridCol w:w="505"/>
        <w:gridCol w:w="2910"/>
      </w:tblGrid>
      <w:tr w14:paraId="3D97B7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24A6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915E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用水类别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7DE0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C4F3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61E5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 w14:paraId="1A4DF6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04EB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8851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办公类（办公室、裁判、治疗、贵宾）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3116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224.56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C1CD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251E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折合人数约45人（按5㎡/人）</w:t>
            </w:r>
          </w:p>
        </w:tc>
      </w:tr>
      <w:tr w14:paraId="6F098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E9BD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D345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商店类（一般商店）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292B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93.96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F85B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2DAA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营业面积</w:t>
            </w:r>
          </w:p>
        </w:tc>
      </w:tr>
      <w:tr w14:paraId="2FB11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323D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80CD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餐饮类（餐厅、快餐、酒吧茶座）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4AE4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131.37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1E23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FFB4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折合人数约85人（按1.5㎡/人）</w:t>
            </w:r>
          </w:p>
        </w:tc>
      </w:tr>
      <w:tr w14:paraId="75A182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7526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FAC4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体育场馆（体育场）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4879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46.98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4201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1F22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折合人数约9人（按5㎡/人）</w:t>
            </w:r>
          </w:p>
        </w:tc>
      </w:tr>
      <w:tr w14:paraId="015E0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DA24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C985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公共浴室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D6E3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27.52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8545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1F18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折合人数约6人（按5㎡/人）</w:t>
            </w:r>
          </w:p>
        </w:tc>
      </w:tr>
      <w:tr w14:paraId="1FA6A2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0F2C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DEF1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休闲空间（大厅、休息厅）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5E83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1679.93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00BC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1B93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公共区域</w:t>
            </w:r>
          </w:p>
        </w:tc>
      </w:tr>
      <w:tr w14:paraId="2D61FB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CBCA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8AC0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绿化灌溉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E2A9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D572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7CC2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绿地面积</w:t>
            </w:r>
          </w:p>
        </w:tc>
      </w:tr>
      <w:tr w14:paraId="56CC0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4540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2C28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道路冲洗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5CD0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5C5F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651F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道路及广场面积</w:t>
            </w:r>
          </w:p>
        </w:tc>
      </w:tr>
      <w:tr w14:paraId="2B874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832F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7ABA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停车场冲洗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89CD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ECDF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6DD5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停车场面积</w:t>
            </w:r>
          </w:p>
        </w:tc>
      </w:tr>
    </w:tbl>
    <w:p w14:paraId="71441A39">
      <w:pPr>
        <w:jc w:val="center"/>
        <w:rPr>
          <w:rFonts w:hint="eastAsia"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表3.2-2 各类用水量估算</w:t>
      </w: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62"/>
        <w:gridCol w:w="726"/>
        <w:gridCol w:w="470"/>
        <w:gridCol w:w="816"/>
        <w:gridCol w:w="812"/>
        <w:gridCol w:w="816"/>
        <w:gridCol w:w="470"/>
        <w:gridCol w:w="1335"/>
        <w:gridCol w:w="1373"/>
      </w:tblGrid>
      <w:tr w14:paraId="561401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78AF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用水类别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C12A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6FBD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3081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用水定额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093D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EBE0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用水频率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0E91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E437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年用水量（m³）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2DF3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 w14:paraId="20BD60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1F2B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办公类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E75C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224.56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BD5A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E5FC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536F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L/人·d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2346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E03B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d/a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0741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450.0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8F4F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按45人，250天</w:t>
            </w:r>
          </w:p>
        </w:tc>
      </w:tr>
      <w:tr w14:paraId="11C4E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DE77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商店类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133A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93.96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B732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167F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8240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B736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18A6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d/a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A51F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DC441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7E1748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89FD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餐饮类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D6DE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131.37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8B82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0106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B9A1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L/人·d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B05C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81C5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d/a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E0F7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1241.0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8082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按85人，365天</w:t>
            </w:r>
          </w:p>
        </w:tc>
      </w:tr>
      <w:tr w14:paraId="203400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B2D6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体育场馆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4F0A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46.98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E543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0099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4448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L/人·d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643D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3215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d/a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4037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19E5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按9人，200天</w:t>
            </w:r>
          </w:p>
        </w:tc>
      </w:tr>
      <w:tr w14:paraId="65E094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3A96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公共浴室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CE04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27.52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6314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32B0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020D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L/人·次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9F0D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73DA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d/a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54B1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219.0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C250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按6人</w:t>
            </w:r>
          </w:p>
        </w:tc>
      </w:tr>
      <w:tr w14:paraId="6EA186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5B61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休闲空间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C8D0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1679.93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FBC5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438F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2B5F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4CB5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AE35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d/a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E12A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1226.4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A3EB4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5D33B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2053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绿化灌溉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629B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7404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00A5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C4D5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6F77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9DF6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次/a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8904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224.0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568F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见逐月表</w:t>
            </w:r>
          </w:p>
        </w:tc>
      </w:tr>
      <w:tr w14:paraId="09ECD6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5DB6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道路冲洗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F2FA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500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A847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A3AC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0178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C791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34F5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次/a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68BD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3779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每月2次</w:t>
            </w:r>
          </w:p>
        </w:tc>
      </w:tr>
      <w:tr w14:paraId="585A8D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F139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停车场冲洗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69D7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12C7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EBB7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DB73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L/㎡·次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2D11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0D9D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次/a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ADC7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14.4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037B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每月2次</w:t>
            </w:r>
          </w:p>
        </w:tc>
      </w:tr>
      <w:tr w14:paraId="17096E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1743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杂用水合计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D0866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250.4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DB490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019761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56EB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生活用水合计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01619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3432.2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FEFCD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00B7F3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EAAD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总用水合计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ABE52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3682.6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2CA5B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</w:tbl>
    <w:p w14:paraId="6D99ABC8">
      <w:pPr>
        <w:pStyle w:val="3"/>
        <w:numPr>
          <w:ilvl w:val="0"/>
          <w:numId w:val="1"/>
        </w:numPr>
        <w:rPr>
          <w:rFonts w:hint="eastAsia" w:ascii="Times New Roman" w:hAnsi="Times New Roman" w:eastAsia="宋体"/>
        </w:rPr>
      </w:pPr>
      <w:bookmarkStart w:id="8" w:name="_Toc30289"/>
      <w:r>
        <w:rPr>
          <w:rFonts w:hint="eastAsia" w:ascii="Times New Roman" w:hAnsi="Times New Roman" w:eastAsia="宋体"/>
        </w:rPr>
        <w:t>节水策略</w:t>
      </w:r>
      <w:bookmarkEnd w:id="8"/>
    </w:p>
    <w:p w14:paraId="3E3A1706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管网漏损控制：</w:t>
      </w:r>
      <w:r>
        <w:rPr>
          <w:rFonts w:hint="eastAsia" w:ascii="Times New Roman" w:hAnsi="Times New Roman" w:eastAsia="宋体"/>
          <w:sz w:val="24"/>
        </w:rPr>
        <w:t>给水系统选用密闭性能好的阀门、设备，优先采用软密封闸阀或蝶阀，室外埋地管道采用球墨铸铁管或PE管，接口严密，减少管网漏损。</w:t>
      </w:r>
    </w:p>
    <w:p w14:paraId="51F4803F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节水器具：</w:t>
      </w:r>
      <w:r>
        <w:rPr>
          <w:rFonts w:hint="eastAsia" w:ascii="Times New Roman" w:hAnsi="Times New Roman" w:eastAsia="宋体"/>
          <w:sz w:val="24"/>
        </w:rPr>
        <w:t>卫生洁具均要求选用节水型洁具及五金配件，所有用水器具应满足现行标准《节水型生活用水器具》CJ/T 164-2014及《节水型产品通用技术条件》GB/T 18870-2011要求。坐便器冲洗水量不大于5L，小便器不大于2L，水龙头加装起泡器。</w:t>
      </w:r>
    </w:p>
    <w:p w14:paraId="15B122C7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eastAsia" w:ascii="Times New Roman" w:hAnsi="Times New Roman" w:eastAsia="宋体"/>
          <w:sz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供水压力控制：</w:t>
      </w:r>
      <w:r>
        <w:rPr>
          <w:rFonts w:hint="eastAsia" w:ascii="Times New Roman" w:hAnsi="Times New Roman" w:eastAsia="宋体"/>
          <w:sz w:val="24"/>
        </w:rPr>
        <w:t>优先利用市政给水管网的压力直接供水，当水压不足时采用变频加压供水，并确保各配水点处供水压力不大于0.20MPa，超压部位设置减压阀。</w:t>
      </w:r>
    </w:p>
    <w:p w14:paraId="2DB62F3C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eastAsia" w:ascii="Times New Roman" w:hAnsi="Times New Roman" w:eastAsia="宋体"/>
          <w:sz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非传统水源利用：</w:t>
      </w:r>
      <w:r>
        <w:rPr>
          <w:rFonts w:hint="eastAsia" w:ascii="Times New Roman" w:hAnsi="Times New Roman" w:eastAsia="宋体"/>
          <w:sz w:val="24"/>
        </w:rPr>
        <w:t>设置雨水收集回用系统，收集屋面及硬化地面雨水，经处理后用于绿化灌溉、道路及停车场冲洗，年利用量约224m³。</w:t>
      </w:r>
    </w:p>
    <w:p w14:paraId="3B9C9852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管材质量：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选购优质管材，室内给水采用PPR管（S5系列），排水采用UPVC管，室外埋地给水管采用PE管，提高耐久性，防止老化渗漏。</w:t>
      </w:r>
    </w:p>
    <w:p w14:paraId="372270B8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eastAsia" w:ascii="Times New Roman" w:hAnsi="Times New Roman" w:eastAsia="宋体"/>
          <w:sz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计量措施：</w:t>
      </w:r>
      <w:r>
        <w:rPr>
          <w:rFonts w:hint="eastAsia" w:ascii="Times New Roman" w:hAnsi="Times New Roman" w:eastAsia="宋体"/>
          <w:sz w:val="24"/>
        </w:rPr>
        <w:t>各功能分区（如餐饮、办公、体育等）分别设置二级水表，绿化及雨水回用系统设置独立计量，便于用水管理与漏损检测。</w:t>
      </w:r>
    </w:p>
    <w:p w14:paraId="0CF3E206">
      <w:pPr>
        <w:pStyle w:val="3"/>
        <w:numPr>
          <w:ilvl w:val="0"/>
          <w:numId w:val="1"/>
        </w:numPr>
        <w:rPr>
          <w:rFonts w:hint="eastAsia" w:ascii="Times New Roman" w:hAnsi="Times New Roman" w:eastAsia="宋体"/>
        </w:rPr>
      </w:pPr>
      <w:bookmarkStart w:id="9" w:name="_Toc21229"/>
      <w:r>
        <w:rPr>
          <w:rFonts w:hint="eastAsia" w:ascii="Times New Roman" w:hAnsi="Times New Roman" w:eastAsia="宋体"/>
        </w:rPr>
        <w:t>给排水系统设计方案</w:t>
      </w:r>
      <w:bookmarkEnd w:id="9"/>
    </w:p>
    <w:p w14:paraId="7AAE8B70">
      <w:pPr>
        <w:pStyle w:val="4"/>
        <w:keepNext w:val="0"/>
        <w:keepLines w:val="0"/>
        <w:widowControl/>
        <w:suppressLineNumbers w:val="0"/>
        <w:spacing w:before="200" w:beforeAutospacing="0" w:after="100" w:afterAutospacing="0"/>
        <w:ind w:left="0" w:firstLine="0"/>
        <w:rPr>
          <w:rFonts w:hint="eastAsia" w:ascii="Times New Roman" w:hAnsi="Times New Roman" w:eastAsia="宋体"/>
        </w:rPr>
      </w:pPr>
      <w:bookmarkStart w:id="10" w:name="_Toc5117"/>
      <w:r>
        <w:rPr>
          <w:rFonts w:hint="eastAsia" w:ascii="Times New Roman" w:hAnsi="Times New Roman" w:eastAsia="宋体"/>
        </w:rPr>
        <w:t>5.1 生活给水系统</w:t>
      </w:r>
      <w:bookmarkEnd w:id="10"/>
    </w:p>
    <w:p w14:paraId="1D7CF3E3">
      <w:pPr>
        <w:pStyle w:val="11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1）水源：</w:t>
      </w:r>
      <w:r>
        <w:rPr>
          <w:rFonts w:hint="eastAsia" w:ascii="Times New Roman" w:hAnsi="Times New Roman" w:eastAsia="宋体" w:cstheme="minorBidi"/>
          <w:kern w:val="2"/>
          <w:sz w:val="24"/>
          <w:szCs w:val="22"/>
          <w:lang w:val="en-US" w:eastAsia="zh-CN" w:bidi="ar-SA"/>
        </w:rPr>
        <w:t>以市政自来水为水源，从场地南侧引入一路DN150给水管，供水压力约0.25MPa。</w:t>
      </w:r>
      <w:r>
        <w:rPr>
          <w:rFonts w:hint="eastAsia" w:ascii="Times New Roman" w:hAnsi="Times New Roman" w:eastAsia="宋体" w:cstheme="minorBidi"/>
          <w:kern w:val="2"/>
          <w:sz w:val="24"/>
          <w:szCs w:val="22"/>
          <w:lang w:val="en-US" w:eastAsia="zh-CN" w:bidi="ar-SA"/>
        </w:rPr>
        <w:br w:type="textWrapping"/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2）供水分区：</w:t>
      </w:r>
      <w:r>
        <w:rPr>
          <w:rFonts w:hint="eastAsia" w:ascii="Times New Roman" w:hAnsi="Times New Roman" w:eastAsia="宋体" w:cstheme="minorBidi"/>
          <w:kern w:val="2"/>
          <w:sz w:val="24"/>
          <w:szCs w:val="22"/>
          <w:lang w:val="en-US" w:eastAsia="zh-CN" w:bidi="ar-SA"/>
        </w:rPr>
        <w:t>由市政直供；或由变频加压供水设备供给，设备设于地下设备间。</w:t>
      </w:r>
      <w:r>
        <w:rPr>
          <w:rFonts w:hint="eastAsia" w:ascii="Times New Roman" w:hAnsi="Times New Roman" w:eastAsia="宋体" w:cstheme="minorBidi"/>
          <w:kern w:val="2"/>
          <w:sz w:val="24"/>
          <w:szCs w:val="22"/>
          <w:lang w:val="en-US" w:eastAsia="zh-CN" w:bidi="ar-SA"/>
        </w:rPr>
        <w:br w:type="textWrapping"/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  <w:t>3）减压措施：</w:t>
      </w:r>
      <w:r>
        <w:rPr>
          <w:rFonts w:hint="eastAsia" w:ascii="Times New Roman" w:hAnsi="Times New Roman" w:eastAsia="宋体" w:cstheme="minorBidi"/>
          <w:kern w:val="2"/>
          <w:sz w:val="24"/>
          <w:szCs w:val="22"/>
          <w:lang w:val="en-US" w:eastAsia="zh-CN" w:bidi="ar-SA"/>
        </w:rPr>
        <w:t>所有用水点压力超过0.20MPa的支管均设减压阀，保证用水舒适及节水。</w:t>
      </w:r>
    </w:p>
    <w:p w14:paraId="6337036F">
      <w:pPr>
        <w:pStyle w:val="4"/>
        <w:rPr>
          <w:rFonts w:hint="eastAsia" w:ascii="Times New Roman" w:hAnsi="Times New Roman" w:eastAsia="宋体"/>
        </w:rPr>
      </w:pPr>
      <w:bookmarkStart w:id="11" w:name="_Toc30930"/>
      <w:r>
        <w:rPr>
          <w:rFonts w:hint="eastAsia" w:ascii="Times New Roman" w:hAnsi="Times New Roman" w:eastAsia="宋体"/>
        </w:rPr>
        <w:t>5.2 生活排水系统</w:t>
      </w:r>
      <w:bookmarkEnd w:id="11"/>
    </w:p>
    <w:p w14:paraId="29B85292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室内生活污废水采用合流制，重力流排出。卫生间、厨房等排水经室外化粪池处理后排入市政污水管网。餐饮废水经隔油池预处理后方可排入化粪池。地下室排水经潜水排污泵提升后排至室外。</w:t>
      </w:r>
    </w:p>
    <w:p w14:paraId="1538AF6F">
      <w:pPr>
        <w:pStyle w:val="4"/>
        <w:rPr>
          <w:rFonts w:hint="eastAsia" w:ascii="Times New Roman" w:hAnsi="Times New Roman" w:eastAsia="宋体"/>
        </w:rPr>
      </w:pPr>
      <w:bookmarkStart w:id="12" w:name="_Toc3123"/>
      <w:r>
        <w:rPr>
          <w:rFonts w:hint="eastAsia" w:ascii="Times New Roman" w:hAnsi="Times New Roman" w:eastAsia="宋体"/>
        </w:rPr>
        <w:t>5.3 雨水排水系统</w:t>
      </w:r>
      <w:bookmarkEnd w:id="12"/>
    </w:p>
    <w:p w14:paraId="417F3FB3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屋面雨水采用重力流排水系统，经雨水斗收集后接入室外雨水管网。场地雨水通过雨水口收集，部分优质雨水（屋面及硬化地面）进入雨水收集池，其余雨水经管网排至市政雨水管网。雨水收集池容积为80m³，设于地下。</w:t>
      </w:r>
    </w:p>
    <w:p w14:paraId="39DF2168">
      <w:pPr>
        <w:pStyle w:val="4"/>
        <w:rPr>
          <w:rFonts w:hint="eastAsia" w:ascii="Times New Roman" w:hAnsi="Times New Roman" w:eastAsia="宋体"/>
        </w:rPr>
      </w:pPr>
      <w:bookmarkStart w:id="13" w:name="_Toc7843"/>
      <w:r>
        <w:rPr>
          <w:rFonts w:hint="eastAsia" w:ascii="Times New Roman" w:hAnsi="Times New Roman" w:eastAsia="宋体"/>
        </w:rPr>
        <w:t>5.4 管材与配件</w:t>
      </w:r>
      <w:bookmarkEnd w:id="13"/>
    </w:p>
    <w:p w14:paraId="4C1E8E2A">
      <w:pPr>
        <w:jc w:val="center"/>
        <w:rPr>
          <w:rFonts w:hint="eastAsia"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表5.4 管材选用表</w:t>
      </w: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47"/>
        <w:gridCol w:w="1484"/>
        <w:gridCol w:w="603"/>
        <w:gridCol w:w="1047"/>
        <w:gridCol w:w="1823"/>
        <w:gridCol w:w="876"/>
      </w:tblGrid>
      <w:tr w14:paraId="0A388E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0834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管道名称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751B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安装部位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4715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管材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49FF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连接方式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60E4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工作压力（MPa）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705F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 w14:paraId="756150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02F5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生活给水管（室内）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CEF8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吊顶、管井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0D78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PP-R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718B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热熔连接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8E9A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BA50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S5系列</w:t>
            </w:r>
          </w:p>
        </w:tc>
      </w:tr>
      <w:tr w14:paraId="087BF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7DF2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生活给水管（室外）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43A7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埋地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CA22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PE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3E35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电熔连接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4C81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67343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11BBDC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86B1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生活排水管（室内）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FCDF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横支管、立管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F065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UPVC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C9CD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粘接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607F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自流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672C7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644C6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8705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雨水管（室内）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8449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吊顶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CE82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UPVC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44F1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粘接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62F7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自流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180B6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6CC517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72DA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雨水回收管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D6A6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埋地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13EB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HDPE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ADC7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热熔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8BC9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FF6A9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</w:tbl>
    <w:p w14:paraId="5ECE45B5">
      <w:pPr>
        <w:pStyle w:val="4"/>
        <w:rPr>
          <w:rFonts w:hint="eastAsia" w:ascii="Times New Roman" w:hAnsi="Times New Roman" w:eastAsia="宋体"/>
        </w:rPr>
      </w:pPr>
      <w:bookmarkStart w:id="14" w:name="_Toc2826"/>
      <w:r>
        <w:rPr>
          <w:rFonts w:hint="eastAsia" w:ascii="Times New Roman" w:hAnsi="Times New Roman" w:eastAsia="宋体"/>
        </w:rPr>
        <w:t>5.5 阀门及附件</w:t>
      </w:r>
      <w:bookmarkEnd w:id="14"/>
    </w:p>
    <w:p w14:paraId="35724965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给水干管采用软密封闸阀或蝶阀；立管根部设截止阀；水表前后设闸阀；减压阀采用可调式减压阀；止回阀采用静音式。所有阀门公称压力不低于1.0MPa。</w:t>
      </w:r>
    </w:p>
    <w:p w14:paraId="60E4DE53">
      <w:pPr>
        <w:pStyle w:val="4"/>
        <w:rPr>
          <w:rFonts w:hint="eastAsia" w:ascii="Times New Roman" w:hAnsi="Times New Roman" w:eastAsia="宋体"/>
        </w:rPr>
      </w:pPr>
      <w:bookmarkStart w:id="15" w:name="_Toc32356"/>
      <w:r>
        <w:rPr>
          <w:rFonts w:hint="eastAsia" w:ascii="Times New Roman" w:hAnsi="Times New Roman" w:eastAsia="宋体"/>
        </w:rPr>
        <w:t>5.6 卫生洁具及附件</w:t>
      </w:r>
      <w:bookmarkEnd w:id="15"/>
    </w:p>
    <w:p w14:paraId="7BA18E69">
      <w:pPr>
        <w:spacing w:line="40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Times New Roman" w:hAnsi="Times New Roman" w:eastAsia="宋体"/>
          <w:sz w:val="24"/>
        </w:rPr>
        <w:t>所有卫生洁具均选用节水型产品：坐便器（3L/6L两档）、感应式小便器（2L）、洗手盆龙头（配起泡器，流量≤9L/min）、淋浴器（恒温混水阀，流量≤9L/min）。厨房水槽龙头采用单柄混合式，流量≤9L/min。公共卫生间采用感应式龙头。</w:t>
      </w:r>
    </w:p>
    <w:p w14:paraId="39CC31C3">
      <w:pPr>
        <w:pStyle w:val="3"/>
        <w:numPr>
          <w:ilvl w:val="0"/>
          <w:numId w:val="1"/>
        </w:numPr>
        <w:rPr>
          <w:rFonts w:hint="eastAsia" w:ascii="Times New Roman" w:hAnsi="Times New Roman" w:eastAsia="宋体"/>
        </w:rPr>
      </w:pPr>
      <w:bookmarkStart w:id="16" w:name="_Toc20373"/>
      <w:r>
        <w:rPr>
          <w:rFonts w:hint="eastAsia" w:ascii="Times New Roman" w:hAnsi="Times New Roman" w:eastAsia="宋体"/>
        </w:rPr>
        <w:t>非传统水源利用方案</w:t>
      </w:r>
      <w:bookmarkEnd w:id="16"/>
    </w:p>
    <w:p w14:paraId="684FD3EF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本项目设置雨水回收利用系统，收集屋面及部分硬化地面雨水（收集面积约1900㎡），初期雨水经弃流后进入地下雨水蓄水池（有效容积80m³），再经一体化设备（过滤+消毒）处理后，储存于清水池。处理后的雨水主要用于场地绿化灌溉（800㎡）、道路浇洒（500㎡）及停车场冲洗（200㎡）。根据水量平衡计算，年可利用雨水量约224m³，占杂用水总量的89.4%，有效节约了市政自来水。非传统水源利用具体内容详见《非传统水源利用报告》。</w:t>
      </w:r>
    </w:p>
    <w:p w14:paraId="29EAD72D">
      <w:pPr>
        <w:pStyle w:val="3"/>
        <w:numPr>
          <w:ilvl w:val="0"/>
          <w:numId w:val="1"/>
        </w:numPr>
        <w:rPr>
          <w:rFonts w:hint="eastAsia" w:ascii="Times New Roman" w:hAnsi="Times New Roman" w:eastAsia="宋体"/>
        </w:rPr>
      </w:pPr>
      <w:bookmarkStart w:id="17" w:name="_Toc7030"/>
      <w:r>
        <w:rPr>
          <w:rFonts w:hint="eastAsia" w:ascii="Times New Roman" w:hAnsi="Times New Roman" w:eastAsia="宋体"/>
        </w:rPr>
        <w:t>水量平衡</w:t>
      </w:r>
      <w:bookmarkEnd w:id="17"/>
    </w:p>
    <w:p w14:paraId="3D762ADC">
      <w:pPr>
        <w:jc w:val="center"/>
        <w:rPr>
          <w:rFonts w:hint="eastAsia"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表7-1 水量平衡计算表（单位：m³/a）</w:t>
      </w:r>
    </w:p>
    <w:tbl>
      <w:tblPr>
        <w:tblW w:w="7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0"/>
        <w:gridCol w:w="829"/>
        <w:gridCol w:w="1531"/>
        <w:gridCol w:w="1004"/>
        <w:gridCol w:w="653"/>
        <w:gridCol w:w="655"/>
        <w:gridCol w:w="655"/>
        <w:gridCol w:w="653"/>
        <w:gridCol w:w="1000"/>
      </w:tblGrid>
      <w:tr w14:paraId="7CF52F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0277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用水类别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0D97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年用水量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F753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非传统水源利用量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9F8A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新水用水量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C935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耗水量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7F0A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排水量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36F4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污水量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F7D7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废水量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B955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 w14:paraId="29CB04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853D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办公类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F527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450.0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D650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90C3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450.0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76F6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F269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360.0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FA2C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360.0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A611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65B6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排水率80%</w:t>
            </w:r>
          </w:p>
        </w:tc>
      </w:tr>
      <w:tr w14:paraId="1A769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3E25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商店类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2DBD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FF92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4625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6DA6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DB4B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164.8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539A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164.8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2424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50AE3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19F057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463F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餐饮类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6E6A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1241.0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8244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9E22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1241.0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2FB3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A737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993.0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B3ED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993.0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A38D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E973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含隔油处理</w:t>
            </w:r>
          </w:p>
        </w:tc>
      </w:tr>
      <w:tr w14:paraId="35F916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A1FC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体育场馆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68FF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418A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BF1D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95E2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6FC2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72.0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973E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72.0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6CE9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4E1ED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294C4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8A50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公共浴室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D816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219.0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8C92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AF0E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219.0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DC9C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1CE8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175.0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051F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175.0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7F5A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DDB8C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3952D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03E7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休闲空间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6C24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1226.4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1B86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23BC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1226.4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1E4F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90A5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981.4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DF85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981.4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F055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7C2CB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  <w:tr w14:paraId="71276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F59C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绿化灌溉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437D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224.0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8B5C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200.0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7F4B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24.0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7617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FA82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1614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9C32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9F19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完全消耗</w:t>
            </w:r>
          </w:p>
        </w:tc>
      </w:tr>
      <w:tr w14:paraId="603A23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421A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道路冲洗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A243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669F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97BD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556C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B40C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224CF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CBA4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EB77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完全消耗</w:t>
            </w:r>
          </w:p>
        </w:tc>
      </w:tr>
      <w:tr w14:paraId="618FB8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06DB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停车场冲洗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9616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14.4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64011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12.0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148A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3A4D2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14.4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33A0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844A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A8A0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3996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完全消耗</w:t>
            </w:r>
          </w:p>
        </w:tc>
      </w:tr>
      <w:tr w14:paraId="51725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47AE5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D00B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3682.6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A1DC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224.0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08FB0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3458.6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5CBC6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936.4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F461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2746.2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7B181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2746.2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F1A6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  <w:r>
              <w:rPr>
                <w:rStyle w:val="15"/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80" w:type="dxa"/>
              <w:left w:w="50" w:type="dxa"/>
              <w:bottom w:w="80" w:type="dxa"/>
              <w:right w:w="50" w:type="dxa"/>
            </w:tcMar>
            <w:vAlign w:val="center"/>
          </w:tcPr>
          <w:p w14:paraId="163D1C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</w:tr>
    </w:tbl>
    <w:p w14:paraId="1D4A941A">
      <w:pPr>
        <w:jc w:val="center"/>
        <w:rPr>
          <w:rFonts w:hint="eastAsia" w:ascii="Times New Roman" w:hAnsi="Times New Roman" w:eastAsia="宋体"/>
          <w:sz w:val="18"/>
          <w:szCs w:val="18"/>
        </w:rPr>
      </w:pPr>
      <w:bookmarkStart w:id="18" w:name="_GoBack"/>
      <w:r>
        <w:rPr>
          <w:rFonts w:hint="eastAsia" w:ascii="Times New Roman" w:hAnsi="Times New Roman" w:eastAsia="宋体"/>
          <w:sz w:val="18"/>
          <w:szCs w:val="18"/>
        </w:rPr>
        <w:t>注：非传统水源利用量根据雨水收集逐月平衡计算得出，年利用224m³。新水用水量为3458.6m³，非传统水源利用率约6.1%（杂用水部分利用率达89.4%）。</w:t>
      </w:r>
    </w:p>
    <w:bookmarkEnd w:id="18"/>
    <w:p w14:paraId="182E4904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E9187F"/>
    <w:multiLevelType w:val="multilevel"/>
    <w:tmpl w:val="29E9187F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41628"/>
    <w:multiLevelType w:val="multilevel"/>
    <w:tmpl w:val="4614162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72"/>
    <w:rsid w:val="00033123"/>
    <w:rsid w:val="001C7CE7"/>
    <w:rsid w:val="00242E1E"/>
    <w:rsid w:val="0025039F"/>
    <w:rsid w:val="00251704"/>
    <w:rsid w:val="002832C3"/>
    <w:rsid w:val="00301F1B"/>
    <w:rsid w:val="00336D09"/>
    <w:rsid w:val="00364168"/>
    <w:rsid w:val="003D6020"/>
    <w:rsid w:val="003E624D"/>
    <w:rsid w:val="004F46F2"/>
    <w:rsid w:val="00636572"/>
    <w:rsid w:val="006D31DD"/>
    <w:rsid w:val="006F401D"/>
    <w:rsid w:val="00816E14"/>
    <w:rsid w:val="00874B4B"/>
    <w:rsid w:val="008F701E"/>
    <w:rsid w:val="009A7D34"/>
    <w:rsid w:val="009E4975"/>
    <w:rsid w:val="00A347B5"/>
    <w:rsid w:val="00A51128"/>
    <w:rsid w:val="00AB5301"/>
    <w:rsid w:val="00AC2D5D"/>
    <w:rsid w:val="00B36C54"/>
    <w:rsid w:val="00C73A6B"/>
    <w:rsid w:val="00CC58DE"/>
    <w:rsid w:val="00CF7525"/>
    <w:rsid w:val="00D55D32"/>
    <w:rsid w:val="00EF6029"/>
    <w:rsid w:val="00F103A7"/>
    <w:rsid w:val="00F24C09"/>
    <w:rsid w:val="00FD145B"/>
    <w:rsid w:val="0B2439F9"/>
    <w:rsid w:val="0B8D66E4"/>
    <w:rsid w:val="10464914"/>
    <w:rsid w:val="24435745"/>
    <w:rsid w:val="3BB54D17"/>
    <w:rsid w:val="45B077FC"/>
    <w:rsid w:val="56781910"/>
    <w:rsid w:val="58F9403E"/>
    <w:rsid w:val="59D0064D"/>
    <w:rsid w:val="5CD039E6"/>
    <w:rsid w:val="7B656445"/>
    <w:rsid w:val="7C6D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6">
    <w:name w:val="toc 3"/>
    <w:basedOn w:val="1"/>
    <w:next w:val="1"/>
    <w:autoRedefine/>
    <w:unhideWhenUsed/>
    <w:uiPriority w:val="39"/>
    <w:pPr>
      <w:ind w:left="840" w:leftChars="400"/>
    </w:pPr>
  </w:style>
  <w:style w:type="paragraph" w:styleId="7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autoRedefine/>
    <w:unhideWhenUsed/>
    <w:uiPriority w:val="39"/>
    <w:pPr>
      <w:ind w:left="420" w:leftChars="200"/>
    </w:pPr>
  </w:style>
  <w:style w:type="paragraph" w:styleId="11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3 Char"/>
    <w:basedOn w:val="14"/>
    <w:link w:val="4"/>
    <w:uiPriority w:val="9"/>
    <w:rPr>
      <w:b/>
      <w:bCs/>
      <w:sz w:val="32"/>
      <w:szCs w:val="32"/>
    </w:rPr>
  </w:style>
  <w:style w:type="character" w:styleId="20">
    <w:name w:val="Placeholder Text"/>
    <w:basedOn w:val="14"/>
    <w:semiHidden/>
    <w:uiPriority w:val="99"/>
    <w:rPr>
      <w:color w:val="808080"/>
    </w:rPr>
  </w:style>
  <w:style w:type="character" w:customStyle="1" w:styleId="21">
    <w:name w:val="页眉 Char"/>
    <w:basedOn w:val="14"/>
    <w:link w:val="9"/>
    <w:uiPriority w:val="99"/>
    <w:rPr>
      <w:sz w:val="18"/>
      <w:szCs w:val="18"/>
    </w:rPr>
  </w:style>
  <w:style w:type="character" w:customStyle="1" w:styleId="22">
    <w:name w:val="页脚 Char"/>
    <w:basedOn w:val="14"/>
    <w:link w:val="8"/>
    <w:uiPriority w:val="99"/>
    <w:rPr>
      <w:sz w:val="18"/>
      <w:szCs w:val="18"/>
    </w:rPr>
  </w:style>
  <w:style w:type="character" w:customStyle="1" w:styleId="23">
    <w:name w:val="正文文本 Char"/>
    <w:basedOn w:val="14"/>
    <w:link w:val="5"/>
    <w:uiPriority w:val="1"/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24">
    <w:name w:val="标题 1 Char"/>
    <w:basedOn w:val="14"/>
    <w:link w:val="2"/>
    <w:uiPriority w:val="9"/>
    <w:rPr>
      <w:b/>
      <w:bCs/>
      <w:kern w:val="44"/>
      <w:sz w:val="44"/>
      <w:szCs w:val="44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6">
    <w:name w:val="批注框文本 Char"/>
    <w:basedOn w:val="14"/>
    <w:link w:val="7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B325B-CA9D-4246-98C5-FF00D04AF2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2088</Words>
  <Characters>2403</Characters>
  <Lines>28</Lines>
  <Paragraphs>7</Paragraphs>
  <TotalTime>0</TotalTime>
  <ScaleCrop>false</ScaleCrop>
  <LinksUpToDate>false</LinksUpToDate>
  <CharactersWithSpaces>2474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2021-11-17T06:47:00Z</dcterms:created>
  <dc:creator>Administrator</dc:creator>
  <cp:lastModifiedBy>徐沐</cp:lastModifiedBy>
  <dcterms:modified xsi:type="dcterms:W3CDTF">2026-03-11T08:31:53Z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eyJoZGlkIjoiY2Q1Y2NkZTgyMjU0ZmVkMjM0YzViOWUzZjVkOTdmZDciLCJ1c2VySWQiOiI5NjA2NjExNDIifQ==</vt:lpwstr>
  </property>
  <property fmtid="{D5CDD505-2E9C-101B-9397-08002B2CF9AE}" pid="3" name="KSOProductBuildVer">
    <vt:lpwstr>2052-12.1.0.25222</vt:lpwstr>
  </property>
  <property fmtid="{D5CDD505-2E9C-101B-9397-08002B2CF9AE}" pid="4" name="ICV">
    <vt:lpwstr>A36EE25A3D52497BAA57065754726AB4_12</vt:lpwstr>
  </property>
</Properties>
</file>