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F27B" w14:textId="77777777" w:rsidR="004F176C" w:rsidRPr="004F176C" w:rsidRDefault="004F176C" w:rsidP="004F176C">
      <w:pPr>
        <w:widowControl/>
        <w:pBdr>
          <w:bottom w:val="single" w:sz="18" w:space="11" w:color="1E3A5F"/>
        </w:pBdr>
        <w:spacing w:after="150"/>
        <w:jc w:val="center"/>
        <w:outlineLvl w:val="0"/>
        <w:rPr>
          <w:rFonts w:ascii="微软雅黑" w:hAnsi="微软雅黑" w:cs="宋体"/>
          <w:b/>
          <w:bCs/>
          <w:color w:val="1E3A5F"/>
          <w:kern w:val="36"/>
          <w:sz w:val="39"/>
          <w:szCs w:val="39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36"/>
          <w:sz w:val="39"/>
          <w:szCs w:val="39"/>
          <w14:ligatures w14:val="none"/>
        </w:rPr>
        <w:t>建筑设备自控系统相关设备使用说明书</w:t>
      </w:r>
    </w:p>
    <w:p w14:paraId="4A2B55F7" w14:textId="77777777" w:rsidR="004F176C" w:rsidRPr="004F176C" w:rsidRDefault="004F176C" w:rsidP="004F176C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项目名称：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从集成到消解：低碳视角下的层次化建筑系统设计</w:t>
      </w:r>
    </w:p>
    <w:p w14:paraId="7B8DB32D" w14:textId="77777777" w:rsidR="004F176C" w:rsidRPr="004F176C" w:rsidRDefault="004F176C" w:rsidP="004F176C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建设单位：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沈阳大学</w:t>
      </w:r>
    </w:p>
    <w:p w14:paraId="061FCC5F" w14:textId="77777777" w:rsidR="004F176C" w:rsidRPr="004F176C" w:rsidRDefault="004F176C" w:rsidP="004F176C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建筑规模：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建筑面积2400㎡，建筑高度14m</w:t>
      </w:r>
    </w:p>
    <w:p w14:paraId="0CF01847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1 系统概述</w:t>
      </w:r>
    </w:p>
    <w:p w14:paraId="71E0255F" w14:textId="77777777" w:rsidR="004F176C" w:rsidRPr="004F176C" w:rsidRDefault="004F176C" w:rsidP="004F176C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本建筑设备自控系统（BAS）主要针对暖通空调、给排水、照明及可再生能源系统进行集中监控与节能控制。系统通过对关键设备的启停、运行参数监测及联动控制，实现建筑能耗优化与舒适度保障。本说明书基于项目设计文件中明确的设备类型编制，具体控制策略需由自控专业深化设计确定。</w:t>
      </w:r>
    </w:p>
    <w:p w14:paraId="3F069596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2 受控设备清单</w:t>
      </w:r>
    </w:p>
    <w:p w14:paraId="7AA580DE" w14:textId="77777777" w:rsidR="004F176C" w:rsidRPr="004F176C" w:rsidRDefault="004F176C" w:rsidP="004F176C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根据项目各专项报告，以下为主要受控设备，其参数已在设计文件中明确：</w:t>
      </w:r>
    </w:p>
    <w:tbl>
      <w:tblPr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564"/>
        <w:gridCol w:w="4396"/>
        <w:gridCol w:w="2304"/>
      </w:tblGrid>
      <w:tr w:rsidR="004F176C" w:rsidRPr="004F176C" w14:paraId="4CFE404A" w14:textId="77777777"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DBBA3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设备类别</w:t>
            </w:r>
          </w:p>
        </w:tc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420C6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设备名称</w:t>
            </w:r>
          </w:p>
        </w:tc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A2D7D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主要参数</w:t>
            </w:r>
          </w:p>
        </w:tc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FDAEC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来源文件</w:t>
            </w:r>
          </w:p>
        </w:tc>
      </w:tr>
      <w:tr w:rsidR="004F176C" w:rsidRPr="004F176C" w14:paraId="3B3BA4A5" w14:textId="77777777">
        <w:tc>
          <w:tcPr>
            <w:tcW w:w="0" w:type="auto"/>
            <w:vMerge w:val="restart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52555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冷热源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60E89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水冷螺杆式冷水机组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883BF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额定制冷量500kW，COP=5.0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31864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《暖通空调系统能耗模拟计算书》</w:t>
            </w:r>
          </w:p>
        </w:tc>
      </w:tr>
      <w:tr w:rsidR="004F176C" w:rsidRPr="004F176C" w14:paraId="423FD882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  <w:hideMark/>
          </w:tcPr>
          <w:p w14:paraId="7A28327E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602D5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热水锅炉（烟煤II）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79759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容量1.0MW，热效率78%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5EF73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《暖通空调系统能耗模拟计算书》</w:t>
            </w:r>
          </w:p>
        </w:tc>
      </w:tr>
      <w:tr w:rsidR="004F176C" w:rsidRPr="004F176C" w14:paraId="0CDC2666" w14:textId="77777777">
        <w:tc>
          <w:tcPr>
            <w:tcW w:w="0" w:type="auto"/>
            <w:vMerge w:val="restart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1C2E1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水泵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DE870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冷冻水泵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ADB1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单速，流量103m³/h，功率12.1kW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3E95C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《暖通空调系统能耗模拟计算书》</w:t>
            </w:r>
          </w:p>
        </w:tc>
      </w:tr>
      <w:tr w:rsidR="004F176C" w:rsidRPr="004F176C" w14:paraId="449E5736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  <w:hideMark/>
          </w:tcPr>
          <w:p w14:paraId="74B9BE7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CC9E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冷却水泵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A6156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单速，流量124m³/h，功率14.6kW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4DF7A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《暖通空调系统能耗模拟计算书》</w:t>
            </w:r>
          </w:p>
        </w:tc>
      </w:tr>
      <w:tr w:rsidR="004F176C" w:rsidRPr="004F176C" w14:paraId="2363E4D6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vAlign w:val="center"/>
            <w:hideMark/>
          </w:tcPr>
          <w:p w14:paraId="09849141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52DE6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供暖水泵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EAEBD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单速，流量100m³/h，功率11.7kW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26EDD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《暖通空调系统能耗模拟计算书》</w:t>
            </w:r>
          </w:p>
        </w:tc>
      </w:tr>
      <w:tr w:rsidR="004F176C" w:rsidRPr="004F176C" w14:paraId="6BF6803B" w14:textId="77777777">
        <w:tc>
          <w:tcPr>
            <w:tcW w:w="0" w:type="auto"/>
            <w:vMerge w:val="restart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EA355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风机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CD98E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新风机组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30915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风量17150m³/h，功率4.1kW（单位风量耗功率0.24W/m³·h）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04511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《建筑全能耗报告书》</w:t>
            </w:r>
          </w:p>
        </w:tc>
      </w:tr>
      <w:tr w:rsidR="004F176C" w:rsidRPr="004F176C" w14:paraId="05158968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vAlign w:val="center"/>
            <w:hideMark/>
          </w:tcPr>
          <w:p w14:paraId="6AA2363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6D3A3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排风机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2177D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风量13720m³/h，功率3.3kW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BF93D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《建筑全能耗报告书》</w:t>
            </w:r>
          </w:p>
        </w:tc>
      </w:tr>
      <w:tr w:rsidR="004F176C" w:rsidRPr="004F176C" w14:paraId="0C1B9109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51201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可再生能源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0852F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光伏逆变器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2273A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与单晶硅组件配套，总装机301.6kWp，系统效率86.5%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7BD08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《光伏发电分析报告》</w:t>
            </w:r>
          </w:p>
        </w:tc>
      </w:tr>
      <w:tr w:rsidR="004F176C" w:rsidRPr="004F176C" w14:paraId="5F916AAC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7B16E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照明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E946B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照明配电箱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07CFA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分区控制，总照明电耗31.95kWh/㎡·a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74DD2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《建筑全能耗报告书》</w:t>
            </w:r>
          </w:p>
        </w:tc>
      </w:tr>
    </w:tbl>
    <w:p w14:paraId="68B62C36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3 控制柜与操作界面</w:t>
      </w:r>
    </w:p>
    <w:p w14:paraId="2FCB0AC1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lastRenderedPageBreak/>
        <w:t>3.1 现场控制柜</w:t>
      </w:r>
    </w:p>
    <w:p w14:paraId="1B68609D" w14:textId="77777777" w:rsidR="004F176C" w:rsidRPr="004F176C" w:rsidRDefault="004F176C" w:rsidP="004F176C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每台冷水机组、水泵、新风机组均配置独立现场控制柜，柜面设有“手/自动”转换开关、启停按钮、运行指示灯、故障报警灯。</w:t>
      </w:r>
    </w:p>
    <w:p w14:paraId="0E4F19FD" w14:textId="77777777" w:rsidR="004F176C" w:rsidRPr="004F176C" w:rsidRDefault="004F176C" w:rsidP="004F176C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控制柜内预留BA接口（干接点或Modbus），便于接入中央监控系统。</w:t>
      </w:r>
    </w:p>
    <w:p w14:paraId="0BA4C62C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3.2 中央监控工作站</w:t>
      </w:r>
    </w:p>
    <w:p w14:paraId="4B532F7F" w14:textId="77777777" w:rsidR="004F176C" w:rsidRPr="004F176C" w:rsidRDefault="004F176C" w:rsidP="004F176C">
      <w:pPr>
        <w:widowControl/>
        <w:numPr>
          <w:ilvl w:val="0"/>
          <w:numId w:val="12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设于消防控制室或物业值班室，配备工控机及组态软件。</w:t>
      </w:r>
    </w:p>
    <w:p w14:paraId="5151E6BD" w14:textId="77777777" w:rsidR="004F176C" w:rsidRPr="004F176C" w:rsidRDefault="004F176C" w:rsidP="004F176C">
      <w:pPr>
        <w:widowControl/>
        <w:numPr>
          <w:ilvl w:val="0"/>
          <w:numId w:val="12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界面显示各设备运行状态、故障报警、实时参数（温度、压力、流量、电量）。</w:t>
      </w:r>
    </w:p>
    <w:p w14:paraId="4E0DC510" w14:textId="77777777" w:rsidR="004F176C" w:rsidRPr="004F176C" w:rsidRDefault="004F176C" w:rsidP="004F176C">
      <w:pPr>
        <w:widowControl/>
        <w:numPr>
          <w:ilvl w:val="0"/>
          <w:numId w:val="12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支持</w:t>
      </w:r>
      <w:proofErr w:type="gramStart"/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定时启</w:t>
      </w:r>
      <w:proofErr w:type="gramEnd"/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停、联动控制、历史数据查询及报表打印。</w:t>
      </w:r>
    </w:p>
    <w:p w14:paraId="014DDFF1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4 主要控制逻辑说明</w:t>
      </w:r>
    </w:p>
    <w:p w14:paraId="2394CDF6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4.1 冷水机组群控</w:t>
      </w:r>
    </w:p>
    <w:p w14:paraId="1EAE0CB2" w14:textId="77777777" w:rsidR="004F176C" w:rsidRPr="004F176C" w:rsidRDefault="004F176C" w:rsidP="004F176C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根据供回水温度及流量计算冷负荷，自动加减载机组及对应冷冻水泵、冷却水泵、冷却塔风机。</w:t>
      </w:r>
    </w:p>
    <w:p w14:paraId="1629BBBB" w14:textId="77777777" w:rsidR="004F176C" w:rsidRPr="004F176C" w:rsidRDefault="004F176C" w:rsidP="004F176C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机组加载顺序：先启动冷却塔、冷却水泵，再启动冷冻水泵，最后启动主机；减载顺序相反。</w:t>
      </w:r>
    </w:p>
    <w:p w14:paraId="5A13B376" w14:textId="77777777" w:rsidR="004F176C" w:rsidRPr="004F176C" w:rsidRDefault="004F176C" w:rsidP="004F176C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机组运行时间自动均衡，延长设备寿命。</w:t>
      </w:r>
    </w:p>
    <w:p w14:paraId="40D892BE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lastRenderedPageBreak/>
        <w:t>4.2 热水锅炉控制</w:t>
      </w:r>
    </w:p>
    <w:p w14:paraId="4F824F26" w14:textId="77777777" w:rsidR="004F176C" w:rsidRPr="004F176C" w:rsidRDefault="004F176C" w:rsidP="004F176C">
      <w:pPr>
        <w:widowControl/>
        <w:numPr>
          <w:ilvl w:val="0"/>
          <w:numId w:val="14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根据室外温度及供热需求，调节锅炉启停及燃烧负荷，同时控制供暖水泵运行。</w:t>
      </w:r>
    </w:p>
    <w:p w14:paraId="5523539F" w14:textId="77777777" w:rsidR="004F176C" w:rsidRPr="004F176C" w:rsidRDefault="004F176C" w:rsidP="004F176C">
      <w:pPr>
        <w:widowControl/>
        <w:numPr>
          <w:ilvl w:val="0"/>
          <w:numId w:val="14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供回水压差控制：通过旁通阀调节，保证末端压差稳定。</w:t>
      </w:r>
    </w:p>
    <w:p w14:paraId="474BED67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4.3 新风机组控制</w:t>
      </w:r>
    </w:p>
    <w:p w14:paraId="46DF5ECF" w14:textId="77777777" w:rsidR="004F176C" w:rsidRPr="004F176C" w:rsidRDefault="004F176C" w:rsidP="004F176C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过渡季优先采用自然通风（当室外温湿度适宜时关闭新风机组）。</w:t>
      </w:r>
    </w:p>
    <w:p w14:paraId="0245159A" w14:textId="77777777" w:rsidR="004F176C" w:rsidRPr="004F176C" w:rsidRDefault="004F176C" w:rsidP="004F176C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空调</w:t>
      </w:r>
      <w:proofErr w:type="gramStart"/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季根据</w:t>
      </w:r>
      <w:proofErr w:type="gramEnd"/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CO</w:t>
      </w:r>
      <w:r w:rsidRPr="004F176C">
        <w:rPr>
          <w:rFonts w:ascii="Cambria Math" w:hAnsi="Cambria Math" w:cs="Cambria Math"/>
          <w:color w:val="2C3E50"/>
          <w:kern w:val="0"/>
          <w:sz w:val="27"/>
          <w:szCs w:val="27"/>
          <w14:ligatures w14:val="none"/>
        </w:rPr>
        <w:t>₂</w:t>
      </w:r>
      <w:r w:rsidRPr="004F176C">
        <w:rPr>
          <w:rFonts w:ascii="微软雅黑" w:hAnsi="微软雅黑" w:cs="微软雅黑" w:hint="eastAsia"/>
          <w:color w:val="2C3E50"/>
          <w:kern w:val="0"/>
          <w:sz w:val="27"/>
          <w:szCs w:val="27"/>
          <w14:ligatures w14:val="none"/>
        </w:rPr>
        <w:t>浓度或温度调节新风阀开度，实现最小新风量控制。</w:t>
      </w:r>
    </w:p>
    <w:p w14:paraId="2F5A65BA" w14:textId="77777777" w:rsidR="004F176C" w:rsidRPr="004F176C" w:rsidRDefault="004F176C" w:rsidP="004F176C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冬季防冻保护：当</w:t>
      </w:r>
      <w:proofErr w:type="gramStart"/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表冷器</w:t>
      </w:r>
      <w:proofErr w:type="gramEnd"/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温度低于5℃时，关闭新风阀并启动热水循环。</w:t>
      </w:r>
    </w:p>
    <w:p w14:paraId="39FD4D91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4.4 照明控制</w:t>
      </w:r>
    </w:p>
    <w:p w14:paraId="4595789C" w14:textId="77777777" w:rsidR="004F176C" w:rsidRPr="004F176C" w:rsidRDefault="004F176C" w:rsidP="004F176C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公共区域（走廊、大厅）采用定时+照度传感器控制，自动调节开灯数量。</w:t>
      </w:r>
    </w:p>
    <w:p w14:paraId="1240D6B6" w14:textId="77777777" w:rsidR="004F176C" w:rsidRPr="004F176C" w:rsidRDefault="004F176C" w:rsidP="004F176C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办公、商业区域采用人体感应+就地面板控制，实现人走灯灭。</w:t>
      </w:r>
    </w:p>
    <w:p w14:paraId="5C79B605" w14:textId="77777777" w:rsidR="004F176C" w:rsidRPr="004F176C" w:rsidRDefault="004F176C" w:rsidP="004F176C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应急照明平时由BAS监视，火灾时强制点亮。</w:t>
      </w:r>
    </w:p>
    <w:p w14:paraId="4448B69B" w14:textId="77777777" w:rsidR="004F176C" w:rsidRPr="004F176C" w:rsidRDefault="004F176C" w:rsidP="004F176C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4.5 光</w:t>
      </w:r>
      <w:proofErr w:type="gramStart"/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伏系统</w:t>
      </w:r>
      <w:proofErr w:type="gramEnd"/>
      <w:r w:rsidRPr="004F176C">
        <w:rPr>
          <w:rFonts w:ascii="微软雅黑" w:hAnsi="微软雅黑" w:cs="宋体" w:hint="eastAsia"/>
          <w:b/>
          <w:bCs/>
          <w:color w:val="2C4B7A"/>
          <w:kern w:val="0"/>
          <w:sz w:val="27"/>
          <w:szCs w:val="27"/>
          <w14:ligatures w14:val="none"/>
        </w:rPr>
        <w:t>监控</w:t>
      </w:r>
    </w:p>
    <w:p w14:paraId="34923B84" w14:textId="77777777" w:rsidR="004F176C" w:rsidRPr="004F176C" w:rsidRDefault="004F176C" w:rsidP="004F176C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lastRenderedPageBreak/>
        <w:t>实时监测光伏阵列电压、电流、发电量及逆变器效率。</w:t>
      </w:r>
    </w:p>
    <w:p w14:paraId="6901FD4F" w14:textId="77777777" w:rsidR="004F176C" w:rsidRPr="004F176C" w:rsidRDefault="004F176C" w:rsidP="004F176C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故障报警：当逆变器通讯中断或发电效率异常时，向中央站报警。</w:t>
      </w:r>
    </w:p>
    <w:p w14:paraId="0C5FAF0C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5 报警与故障处理</w:t>
      </w:r>
    </w:p>
    <w:p w14:paraId="4DCB0FB0" w14:textId="77777777" w:rsidR="004F176C" w:rsidRPr="004F176C" w:rsidRDefault="004F176C" w:rsidP="004F176C">
      <w:pPr>
        <w:widowControl/>
        <w:numPr>
          <w:ilvl w:val="0"/>
          <w:numId w:val="18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报警类型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：设备故障（过载、欠载、超温）、参数越限（压力、温度）、通讯故障、消防联动信号。</w:t>
      </w:r>
    </w:p>
    <w:p w14:paraId="0225B2DA" w14:textId="77777777" w:rsidR="004F176C" w:rsidRPr="004F176C" w:rsidRDefault="004F176C" w:rsidP="004F176C">
      <w:pPr>
        <w:widowControl/>
        <w:numPr>
          <w:ilvl w:val="0"/>
          <w:numId w:val="18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报警分级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：紧急报警（红色闪烁，需立即确认）、一般报警（黄色提示，可稍后处理）。</w:t>
      </w:r>
    </w:p>
    <w:p w14:paraId="7B4AF57C" w14:textId="77777777" w:rsidR="004F176C" w:rsidRPr="004F176C" w:rsidRDefault="004F176C" w:rsidP="004F176C">
      <w:pPr>
        <w:widowControl/>
        <w:numPr>
          <w:ilvl w:val="0"/>
          <w:numId w:val="18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处理流程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：中央站弹出报警窗口→值班人员确认→通知相关专业维修→处理完成后在系统记录中填写处理结果。</w:t>
      </w:r>
    </w:p>
    <w:p w14:paraId="05B8A145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6 操作注意事项</w:t>
      </w:r>
    </w:p>
    <w:p w14:paraId="170F8AFE" w14:textId="77777777" w:rsidR="004F176C" w:rsidRPr="004F176C" w:rsidRDefault="004F176C" w:rsidP="004F176C">
      <w:pPr>
        <w:widowControl/>
        <w:numPr>
          <w:ilvl w:val="0"/>
          <w:numId w:val="1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操作人员应经过培训，熟悉系统及设备操作规程。</w:t>
      </w:r>
    </w:p>
    <w:p w14:paraId="4A53EB38" w14:textId="77777777" w:rsidR="004F176C" w:rsidRPr="004F176C" w:rsidRDefault="004F176C" w:rsidP="004F176C">
      <w:pPr>
        <w:widowControl/>
        <w:numPr>
          <w:ilvl w:val="0"/>
          <w:numId w:val="1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禁止在设备运行时直接切换“手/自动”状态，应先停机再转换。</w:t>
      </w:r>
    </w:p>
    <w:p w14:paraId="10739EFC" w14:textId="77777777" w:rsidR="004F176C" w:rsidRPr="004F176C" w:rsidRDefault="004F176C" w:rsidP="004F176C">
      <w:pPr>
        <w:widowControl/>
        <w:numPr>
          <w:ilvl w:val="0"/>
          <w:numId w:val="1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每半年对传感器进行校准，每年对执行机构进行测试。</w:t>
      </w:r>
    </w:p>
    <w:p w14:paraId="3EA6E2A5" w14:textId="77777777" w:rsidR="004F176C" w:rsidRPr="004F176C" w:rsidRDefault="004F176C" w:rsidP="004F176C">
      <w:pPr>
        <w:widowControl/>
        <w:numPr>
          <w:ilvl w:val="0"/>
          <w:numId w:val="1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修改控制参数（如温度设定值、时间表）需经物业主管批准，并记录在案。</w:t>
      </w:r>
    </w:p>
    <w:p w14:paraId="23519727" w14:textId="77777777" w:rsidR="004F176C" w:rsidRPr="004F176C" w:rsidRDefault="004F176C" w:rsidP="004F176C">
      <w:pPr>
        <w:widowControl/>
        <w:numPr>
          <w:ilvl w:val="0"/>
          <w:numId w:val="1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雷雨季节注意防雷，建议关闭非必要室外传感器电源。</w:t>
      </w:r>
    </w:p>
    <w:p w14:paraId="0C208A63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lastRenderedPageBreak/>
        <w:t>7 维护与保养</w:t>
      </w:r>
    </w:p>
    <w:p w14:paraId="5769BBEC" w14:textId="77777777" w:rsidR="004F176C" w:rsidRPr="004F176C" w:rsidRDefault="004F176C" w:rsidP="004F176C">
      <w:pPr>
        <w:widowControl/>
        <w:numPr>
          <w:ilvl w:val="0"/>
          <w:numId w:val="2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每日：通过中央站巡检各设备运行状态，记录异常。</w:t>
      </w:r>
    </w:p>
    <w:p w14:paraId="0E5B4346" w14:textId="77777777" w:rsidR="004F176C" w:rsidRPr="004F176C" w:rsidRDefault="004F176C" w:rsidP="004F176C">
      <w:pPr>
        <w:widowControl/>
        <w:numPr>
          <w:ilvl w:val="0"/>
          <w:numId w:val="2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每周：检查现场控制柜指示灯、转换开关是否正常。</w:t>
      </w:r>
    </w:p>
    <w:p w14:paraId="5E30958A" w14:textId="77777777" w:rsidR="004F176C" w:rsidRPr="004F176C" w:rsidRDefault="004F176C" w:rsidP="004F176C">
      <w:pPr>
        <w:widowControl/>
        <w:numPr>
          <w:ilvl w:val="0"/>
          <w:numId w:val="2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每月：清洁传感器探头，检查接线端子有无松动。</w:t>
      </w:r>
    </w:p>
    <w:p w14:paraId="08E5C96B" w14:textId="77777777" w:rsidR="004F176C" w:rsidRPr="004F176C" w:rsidRDefault="004F176C" w:rsidP="004F176C">
      <w:pPr>
        <w:widowControl/>
        <w:numPr>
          <w:ilvl w:val="0"/>
          <w:numId w:val="2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每季：对水泵、风机等转动设备进行振动、温度检测。</w:t>
      </w:r>
    </w:p>
    <w:p w14:paraId="726CD221" w14:textId="77777777" w:rsidR="004F176C" w:rsidRPr="004F176C" w:rsidRDefault="004F176C" w:rsidP="004F176C">
      <w:pPr>
        <w:widowControl/>
        <w:numPr>
          <w:ilvl w:val="0"/>
          <w:numId w:val="2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每年：全面校验仪表，测试联动逻辑，备份系统软件数据。</w:t>
      </w:r>
    </w:p>
    <w:p w14:paraId="53C62809" w14:textId="77777777" w:rsidR="004F176C" w:rsidRPr="004F176C" w:rsidRDefault="004F176C" w:rsidP="004F176C">
      <w:pPr>
        <w:widowControl/>
        <w:shd w:val="clear" w:color="auto" w:fill="F0F9FF"/>
        <w:jc w:val="left"/>
        <w:rPr>
          <w:rFonts w:ascii="微软雅黑" w:hAnsi="微软雅黑" w:cs="宋体" w:hint="eastAsia"/>
          <w:color w:val="2C3E50"/>
          <w:kern w:val="0"/>
          <w:sz w:val="21"/>
          <w:szCs w:val="21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2C3E50"/>
          <w:kern w:val="0"/>
          <w:sz w:val="21"/>
          <w:szCs w:val="21"/>
          <w14:ligatures w14:val="none"/>
        </w:rPr>
        <w:t>重要提示：</w:t>
      </w:r>
      <w:r w:rsidRPr="004F176C">
        <w:rPr>
          <w:rFonts w:ascii="微软雅黑" w:hAnsi="微软雅黑" w:cs="宋体" w:hint="eastAsia"/>
          <w:color w:val="2C3E50"/>
          <w:kern w:val="0"/>
          <w:sz w:val="21"/>
          <w:szCs w:val="21"/>
          <w14:ligatures w14:val="none"/>
        </w:rPr>
        <w:t> 本说明书基于项目各专项报告中的设备信息编制，自控系统详细设计（如DDC选型、网络拓扑、控制算法）需由专业厂商完成。实际使用中应结合现场调试报告及最终竣工图纸。</w:t>
      </w:r>
    </w:p>
    <w:p w14:paraId="73FAB869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8 常见故障及排除</w:t>
      </w:r>
    </w:p>
    <w:tbl>
      <w:tblPr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3703"/>
        <w:gridCol w:w="4003"/>
      </w:tblGrid>
      <w:tr w:rsidR="004F176C" w:rsidRPr="004F176C" w14:paraId="30C0BEED" w14:textId="77777777"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1777F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故障现象</w:t>
            </w:r>
          </w:p>
        </w:tc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23DF2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可能原因</w:t>
            </w:r>
          </w:p>
        </w:tc>
        <w:tc>
          <w:tcPr>
            <w:tcW w:w="0" w:type="auto"/>
            <w:tcBorders>
              <w:top w:val="single" w:sz="6" w:space="0" w:color="0A2A4A"/>
              <w:left w:val="single" w:sz="6" w:space="0" w:color="0A2A4A"/>
              <w:bottom w:val="single" w:sz="6" w:space="0" w:color="0A2A4A"/>
              <w:right w:val="single" w:sz="6" w:space="0" w:color="0A2A4A"/>
            </w:tcBorders>
            <w:shd w:val="clear" w:color="auto" w:fill="1E3A5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F3BAB" w14:textId="77777777" w:rsidR="004F176C" w:rsidRPr="004F176C" w:rsidRDefault="004F176C" w:rsidP="004F176C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排除方法</w:t>
            </w:r>
          </w:p>
        </w:tc>
      </w:tr>
      <w:tr w:rsidR="004F176C" w:rsidRPr="004F176C" w14:paraId="2ED5839A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95F9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冷水机组无法启动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5075B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水流开关未闭合；控制柜未在自动状态；通讯故障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836A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检查水泵运行状态；检查阀门开启情况；查看通讯线路</w:t>
            </w:r>
          </w:p>
        </w:tc>
      </w:tr>
      <w:tr w:rsidR="004F176C" w:rsidRPr="004F176C" w14:paraId="468019EC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68A1B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新风机组</w:t>
            </w:r>
            <w:proofErr w:type="gramStart"/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不</w:t>
            </w:r>
            <w:proofErr w:type="gramEnd"/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动作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CFB82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防冻保护动作；风机过载；风阀卡死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991ED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检查防冻开关复位；复位热继电器；手动盘动风阀</w:t>
            </w:r>
          </w:p>
        </w:tc>
      </w:tr>
      <w:tr w:rsidR="004F176C" w:rsidRPr="004F176C" w14:paraId="36EC0E6F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F50FF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传感器读数异常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30D72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传感器损坏；接线松动；采集模块故障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79AD8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比对现场仪表值；重新接线；更换模块</w:t>
            </w:r>
          </w:p>
        </w:tc>
      </w:tr>
      <w:tr w:rsidR="004F176C" w:rsidRPr="004F176C" w14:paraId="33CFACEE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29A7C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lastRenderedPageBreak/>
              <w:t>光伏发电量偏低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D3893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组件表面污损；逆变器故障；阴影遮挡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03BB7" w14:textId="77777777" w:rsidR="004F176C" w:rsidRPr="004F176C" w:rsidRDefault="004F176C" w:rsidP="004F176C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4F176C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清洗组件；查看逆变器报警；检查周边遮挡物</w:t>
            </w:r>
          </w:p>
        </w:tc>
      </w:tr>
    </w:tbl>
    <w:p w14:paraId="4129EAF2" w14:textId="77777777" w:rsidR="004F176C" w:rsidRPr="004F176C" w:rsidRDefault="004F176C" w:rsidP="004F176C">
      <w:pPr>
        <w:widowControl/>
        <w:pBdr>
          <w:left w:val="single" w:sz="36" w:space="11" w:color="1E3A5F"/>
        </w:pBdr>
        <w:shd w:val="clear" w:color="auto" w:fill="F0F7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</w:pPr>
      <w:r w:rsidRPr="004F176C">
        <w:rPr>
          <w:rFonts w:ascii="微软雅黑" w:hAnsi="微软雅黑" w:cs="宋体" w:hint="eastAsia"/>
          <w:b/>
          <w:bCs/>
          <w:color w:val="1E3A5F"/>
          <w:kern w:val="0"/>
          <w:sz w:val="30"/>
          <w:szCs w:val="30"/>
          <w14:ligatures w14:val="none"/>
        </w:rPr>
        <w:t>9 售后服务与技术支持</w:t>
      </w:r>
    </w:p>
    <w:p w14:paraId="00272082" w14:textId="77777777" w:rsidR="004F176C" w:rsidRDefault="004F176C" w:rsidP="004F176C">
      <w:pPr>
        <w:widowControl/>
        <w:spacing w:after="180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本系统由沈阳大学建筑设计研究院提供设计，施工单位负责安装调试。自控系统集成商应在交付时提供完整的竣工资料、软件备份及培训。质保期内如遇系统故障，可联系集成商或物业工程部。</w:t>
      </w:r>
    </w:p>
    <w:p w14:paraId="28E9D8A1" w14:textId="77777777" w:rsidR="00871E80" w:rsidRDefault="00871E80" w:rsidP="004F176C">
      <w:pPr>
        <w:widowControl/>
        <w:spacing w:after="180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5D8F1687" w14:textId="77777777" w:rsidR="00871E80" w:rsidRPr="004F176C" w:rsidRDefault="00871E80" w:rsidP="004F176C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</w:p>
    <w:p w14:paraId="1BBD1B52" w14:textId="429E70C1" w:rsidR="004F176C" w:rsidRPr="004F176C" w:rsidRDefault="004F176C" w:rsidP="003933CB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编制：沈阳大学建筑设计研究院</w:t>
      </w:r>
    </w:p>
    <w:p w14:paraId="40CDD2DC" w14:textId="01E8D7E1" w:rsidR="004F176C" w:rsidRPr="004F176C" w:rsidRDefault="004F176C" w:rsidP="003933CB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日期：2026年3月1</w:t>
      </w:r>
      <w:r w:rsidR="003933CB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2</w:t>
      </w: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日</w:t>
      </w:r>
    </w:p>
    <w:p w14:paraId="331F12FF" w14:textId="77777777" w:rsidR="004F176C" w:rsidRPr="004F176C" w:rsidRDefault="004F176C" w:rsidP="003933CB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4F176C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版本：A/0</w:t>
      </w:r>
    </w:p>
    <w:p w14:paraId="3551A138" w14:textId="77777777" w:rsidR="005261B6" w:rsidRPr="004F176C" w:rsidRDefault="005261B6"/>
    <w:sectPr w:rsidR="005261B6" w:rsidRPr="004F176C" w:rsidSect="003321CF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63BD" w14:textId="77777777" w:rsidR="00462238" w:rsidRDefault="00462238" w:rsidP="003321CF">
      <w:r>
        <w:separator/>
      </w:r>
    </w:p>
  </w:endnote>
  <w:endnote w:type="continuationSeparator" w:id="0">
    <w:p w14:paraId="47A74006" w14:textId="77777777" w:rsidR="00462238" w:rsidRDefault="00462238" w:rsidP="0033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960266"/>
      <w:docPartObj>
        <w:docPartGallery w:val="Page Numbers (Bottom of Page)"/>
        <w:docPartUnique/>
      </w:docPartObj>
    </w:sdtPr>
    <w:sdtContent>
      <w:p w14:paraId="7EE55BF1" w14:textId="05689B2E" w:rsidR="003321CF" w:rsidRDefault="003321CF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1449B4" w14:textId="77777777" w:rsidR="003321CF" w:rsidRDefault="003321C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4ADF" w14:textId="77777777" w:rsidR="00462238" w:rsidRDefault="00462238" w:rsidP="003321CF">
      <w:r>
        <w:separator/>
      </w:r>
    </w:p>
  </w:footnote>
  <w:footnote w:type="continuationSeparator" w:id="0">
    <w:p w14:paraId="6CFFF8D9" w14:textId="77777777" w:rsidR="00462238" w:rsidRDefault="00462238" w:rsidP="0033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D3E"/>
    <w:multiLevelType w:val="multilevel"/>
    <w:tmpl w:val="7B4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6FE"/>
    <w:multiLevelType w:val="multilevel"/>
    <w:tmpl w:val="D35C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E7BC6"/>
    <w:multiLevelType w:val="multilevel"/>
    <w:tmpl w:val="4928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678C"/>
    <w:multiLevelType w:val="multilevel"/>
    <w:tmpl w:val="865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6CBE"/>
    <w:multiLevelType w:val="multilevel"/>
    <w:tmpl w:val="F01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E36E1"/>
    <w:multiLevelType w:val="multilevel"/>
    <w:tmpl w:val="4BD0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C7A3A"/>
    <w:multiLevelType w:val="multilevel"/>
    <w:tmpl w:val="8EAE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F538E"/>
    <w:multiLevelType w:val="multilevel"/>
    <w:tmpl w:val="76CC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D6987"/>
    <w:multiLevelType w:val="multilevel"/>
    <w:tmpl w:val="603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B3DAD"/>
    <w:multiLevelType w:val="multilevel"/>
    <w:tmpl w:val="CDA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75DD6"/>
    <w:multiLevelType w:val="multilevel"/>
    <w:tmpl w:val="52C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10C25"/>
    <w:multiLevelType w:val="multilevel"/>
    <w:tmpl w:val="2E8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A4507"/>
    <w:multiLevelType w:val="multilevel"/>
    <w:tmpl w:val="CF1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71F6F"/>
    <w:multiLevelType w:val="multilevel"/>
    <w:tmpl w:val="557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22296"/>
    <w:multiLevelType w:val="multilevel"/>
    <w:tmpl w:val="F44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96CEF"/>
    <w:multiLevelType w:val="multilevel"/>
    <w:tmpl w:val="DAD6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62E7E"/>
    <w:multiLevelType w:val="multilevel"/>
    <w:tmpl w:val="83F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31ACE"/>
    <w:multiLevelType w:val="multilevel"/>
    <w:tmpl w:val="ECF8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5356A"/>
    <w:multiLevelType w:val="multilevel"/>
    <w:tmpl w:val="A0F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365DB"/>
    <w:multiLevelType w:val="multilevel"/>
    <w:tmpl w:val="AC7E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78042">
    <w:abstractNumId w:val="14"/>
  </w:num>
  <w:num w:numId="2" w16cid:durableId="1634558325">
    <w:abstractNumId w:val="5"/>
  </w:num>
  <w:num w:numId="3" w16cid:durableId="673532728">
    <w:abstractNumId w:val="1"/>
  </w:num>
  <w:num w:numId="4" w16cid:durableId="1660036373">
    <w:abstractNumId w:val="13"/>
  </w:num>
  <w:num w:numId="5" w16cid:durableId="639582069">
    <w:abstractNumId w:val="10"/>
  </w:num>
  <w:num w:numId="6" w16cid:durableId="95441016">
    <w:abstractNumId w:val="8"/>
  </w:num>
  <w:num w:numId="7" w16cid:durableId="1153646625">
    <w:abstractNumId w:val="9"/>
  </w:num>
  <w:num w:numId="8" w16cid:durableId="1310524318">
    <w:abstractNumId w:val="18"/>
  </w:num>
  <w:num w:numId="9" w16cid:durableId="363865269">
    <w:abstractNumId w:val="17"/>
  </w:num>
  <w:num w:numId="10" w16cid:durableId="1718579883">
    <w:abstractNumId w:val="15"/>
  </w:num>
  <w:num w:numId="11" w16cid:durableId="155267811">
    <w:abstractNumId w:val="16"/>
  </w:num>
  <w:num w:numId="12" w16cid:durableId="1459299520">
    <w:abstractNumId w:val="19"/>
  </w:num>
  <w:num w:numId="13" w16cid:durableId="1693995077">
    <w:abstractNumId w:val="4"/>
  </w:num>
  <w:num w:numId="14" w16cid:durableId="1320230323">
    <w:abstractNumId w:val="7"/>
  </w:num>
  <w:num w:numId="15" w16cid:durableId="76565159">
    <w:abstractNumId w:val="0"/>
  </w:num>
  <w:num w:numId="16" w16cid:durableId="1351419033">
    <w:abstractNumId w:val="6"/>
  </w:num>
  <w:num w:numId="17" w16cid:durableId="113450848">
    <w:abstractNumId w:val="2"/>
  </w:num>
  <w:num w:numId="18" w16cid:durableId="1621105854">
    <w:abstractNumId w:val="11"/>
  </w:num>
  <w:num w:numId="19" w16cid:durableId="1688404958">
    <w:abstractNumId w:val="12"/>
  </w:num>
  <w:num w:numId="20" w16cid:durableId="1184831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6C"/>
    <w:rsid w:val="002F73B7"/>
    <w:rsid w:val="003321CF"/>
    <w:rsid w:val="003933CB"/>
    <w:rsid w:val="00427C84"/>
    <w:rsid w:val="00462238"/>
    <w:rsid w:val="0049025D"/>
    <w:rsid w:val="004F176C"/>
    <w:rsid w:val="005261B6"/>
    <w:rsid w:val="006D447C"/>
    <w:rsid w:val="00871E80"/>
    <w:rsid w:val="00BA5D15"/>
    <w:rsid w:val="00C134F6"/>
    <w:rsid w:val="00C15911"/>
    <w:rsid w:val="00C905BA"/>
    <w:rsid w:val="00C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F19D2"/>
  <w15:chartTrackingRefBased/>
  <w15:docId w15:val="{60E4BCD3-B783-42FE-8F17-AB5C2255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7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7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76C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176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76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76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76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7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7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7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7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21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21C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2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2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yu</dc:creator>
  <cp:keywords/>
  <dc:description/>
  <cp:lastModifiedBy>xing yu</cp:lastModifiedBy>
  <cp:revision>5</cp:revision>
  <dcterms:created xsi:type="dcterms:W3CDTF">2026-03-11T04:46:00Z</dcterms:created>
  <dcterms:modified xsi:type="dcterms:W3CDTF">2026-03-11T04:47:00Z</dcterms:modified>
</cp:coreProperties>
</file>