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C7D3">
      <w:pPr>
        <w:widowControl/>
        <w:pBdr>
          <w:bottom w:val="single" w:color="0F4D3A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F4D3A"/>
          <w:spacing w:val="15"/>
          <w:kern w:val="36"/>
          <w:sz w:val="42"/>
          <w:szCs w:val="42"/>
          <w14:ligatures w14:val="none"/>
        </w:rPr>
      </w:pPr>
    </w:p>
    <w:p w14:paraId="25151243">
      <w:pPr>
        <w:widowControl/>
        <w:pBdr>
          <w:bottom w:val="single" w:color="0F4D3A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F4D3A"/>
          <w:spacing w:val="15"/>
          <w:kern w:val="36"/>
          <w:sz w:val="42"/>
          <w:szCs w:val="42"/>
          <w14:ligatures w14:val="none"/>
        </w:rPr>
      </w:pPr>
    </w:p>
    <w:p w14:paraId="717F12FA">
      <w:pPr>
        <w:widowControl/>
        <w:pBdr>
          <w:bottom w:val="single" w:color="0F4D3A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F4D3A"/>
          <w:spacing w:val="15"/>
          <w:kern w:val="36"/>
          <w:sz w:val="42"/>
          <w:szCs w:val="42"/>
          <w14:ligatures w14:val="none"/>
        </w:rPr>
      </w:pPr>
    </w:p>
    <w:p w14:paraId="56C7C133">
      <w:pPr>
        <w:widowControl/>
        <w:pBdr>
          <w:bottom w:val="single" w:color="0F4D3A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F4D3A"/>
          <w:spacing w:val="15"/>
          <w:kern w:val="36"/>
          <w:sz w:val="42"/>
          <w:szCs w:val="42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spacing w:val="15"/>
          <w:kern w:val="36"/>
          <w:sz w:val="42"/>
          <w:szCs w:val="42"/>
          <w14:ligatures w14:val="none"/>
        </w:rPr>
        <w:t>创新措施分析论证报告</w:t>
      </w:r>
    </w:p>
    <w:p w14:paraId="484BA33C">
      <w:pPr>
        <w:widowControl/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30"/>
          <w:szCs w:val="30"/>
          <w14:ligatures w14:val="none"/>
        </w:rPr>
        <w:t>项目名称：</w:t>
      </w:r>
      <w:r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  <w:t>从集成到消解：低碳视角下的层次化建筑系统设计</w:t>
      </w:r>
    </w:p>
    <w:p w14:paraId="18C2093E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</w:t>
      </w:r>
    </w:p>
    <w:p w14:paraId="66E95E32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设计单位：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p w14:paraId="21CF99B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工程地点：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辽宁省沈阳市</w:t>
      </w:r>
    </w:p>
    <w:p w14:paraId="34494E3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地上2层，建筑面积2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㎡，建筑高度1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m</w:t>
      </w:r>
    </w:p>
    <w:p w14:paraId="7B494433">
      <w:pPr>
        <w:widowControl/>
        <w:spacing w:after="180"/>
        <w:rPr>
          <w:rFonts w:hint="eastAsia" w:ascii="微软雅黑" w:hAnsi="微软雅黑" w:cs="宋体"/>
          <w:color w:val="1E7E5A"/>
          <w:kern w:val="0"/>
          <w:szCs w:val="24"/>
          <w14:ligatures w14:val="none"/>
        </w:rPr>
      </w:pPr>
      <w:r>
        <w:rPr>
          <w:rFonts w:hint="eastAsia" w:ascii="微软雅黑" w:hAnsi="微软雅黑" w:cs="宋体"/>
          <w:color w:val="1E7E5A"/>
          <w:kern w:val="0"/>
          <w:szCs w:val="24"/>
          <w14:ligatures w14:val="none"/>
        </w:rPr>
        <w:t>报告编号：CX-LJ1-2026-001 │ 版本：A/0</w:t>
      </w:r>
    </w:p>
    <w:p w14:paraId="44CA64A5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  <w:t>（基于绿色建筑性能分析报告提取创新措施）</w:t>
      </w:r>
    </w:p>
    <w:p w14:paraId="2383DB32">
      <w:pPr>
        <w:widowControl/>
        <w:spacing w:before="150" w:after="180"/>
        <w:rPr>
          <w:rFonts w:hint="eastAsia" w:ascii="微软雅黑" w:hAnsi="微软雅黑" w:cs="宋体"/>
          <w:color w:val="666666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color w:val="666666"/>
          <w:kern w:val="0"/>
          <w:sz w:val="21"/>
          <w:szCs w:val="21"/>
          <w14:ligatures w14:val="none"/>
        </w:rPr>
        <w:t>编制日期：2026年3月11日</w:t>
      </w:r>
    </w:p>
    <w:p w14:paraId="08594758">
      <w:pPr>
        <w:widowControl/>
        <w:jc w:val="left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br w:type="page"/>
      </w:r>
    </w:p>
    <w:p w14:paraId="147CCB0F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目录</w:t>
      </w:r>
    </w:p>
    <w:p w14:paraId="1286B347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1. 项目概况 ................................ 3</w:t>
      </w:r>
    </w:p>
    <w:p w14:paraId="54986071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2. 创新措施综述 ............................ 3</w:t>
      </w:r>
    </w:p>
    <w:p w14:paraId="74B8AAF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3. 高性能围护结构创新 ...................... 4</w:t>
      </w:r>
    </w:p>
    <w:p w14:paraId="6B8480E0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4. 可再生能源光伏系统创新 .................. 5</w:t>
      </w:r>
    </w:p>
    <w:p w14:paraId="555110FA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5. 室内空气质量优化创新 .................... 6</w:t>
      </w:r>
    </w:p>
    <w:p w14:paraId="22052D8D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6. 自然通风与采光创新 ...................... 7</w:t>
      </w:r>
    </w:p>
    <w:p w14:paraId="3BB12ED3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7. 碳排放控制创新 .......................... 7</w:t>
      </w:r>
    </w:p>
    <w:p w14:paraId="175E1BC3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8. 室外风环境与声环境优化 .................. 8</w:t>
      </w:r>
    </w:p>
    <w:p w14:paraId="105BC9C8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9. 综合效益分析 ............................ 9</w:t>
      </w:r>
    </w:p>
    <w:p w14:paraId="2C58AB24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10. 结论与建议 ............................. 10</w:t>
      </w:r>
    </w:p>
    <w:p w14:paraId="09F7E6D3">
      <w:pPr>
        <w:widowControl/>
        <w:jc w:val="left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br w:type="page"/>
      </w:r>
    </w:p>
    <w:p w14:paraId="60AA415E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1 项目概况</w:t>
      </w:r>
    </w:p>
    <w:p w14:paraId="7E9AA35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0F4D3A"/>
          <w14:ligatures w14:val="none"/>
        </w:rPr>
        <w:t>1.1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LJ1项目为沈阳大学建设的体育·商业综合体，位于辽宁省沈阳市，总建筑面积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2400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㎡，地上2层，无地下室，建筑高度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14</w:t>
      </w:r>
      <w:bookmarkStart w:id="0" w:name="_GoBack"/>
      <w:bookmarkEnd w:id="0"/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m。主要使用功能包括：休闲空间、体育场、一般商店、餐厅、贵宾室、裁判房、办公室、治疗室、浴室等。</w:t>
      </w:r>
    </w:p>
    <w:p w14:paraId="0D78310C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0F4D3A"/>
          <w14:ligatures w14:val="none"/>
        </w:rPr>
        <w:t>1.2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项目在设计阶段进行了全面的绿色建筑性能模拟分析，涵盖能耗、采光、通风、声环境、污染物控制、碳排放、可再生能源利用等30余项专项报告。基于这些报告，本项目在多个技术领域实现了创新性突破，显著优于国家现行节能及绿色建筑标准要求。</w:t>
      </w:r>
    </w:p>
    <w:p w14:paraId="56FE4BEF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2 创新措施综述</w:t>
      </w:r>
    </w:p>
    <w:p w14:paraId="74B400F7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通过对全部专项报告的梳理，本项目共识别出六大类创新技术措施，具体清单及对应报告如下：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32"/>
        <w:gridCol w:w="3442"/>
        <w:gridCol w:w="3643"/>
      </w:tblGrid>
      <w:tr w14:paraId="7A97B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95E836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9FA296B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创新措施类别</w:t>
            </w:r>
          </w:p>
        </w:tc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D13EADA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关键指标</w:t>
            </w:r>
          </w:p>
        </w:tc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0258623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来源文件</w:t>
            </w:r>
          </w:p>
        </w:tc>
      </w:tr>
      <w:tr w14:paraId="7F34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67414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93F246A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高性能围护结构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664F37E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供暖空调负荷降低17.21%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9DDDB5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《围护结构节能率分析报告.docx》</w:t>
            </w:r>
          </w:p>
        </w:tc>
      </w:tr>
      <w:tr w14:paraId="7104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14C470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C0C67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可再生能源光伏系统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8BA664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装机301.6kWp，首年发电337.04MWh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A7B234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《光伏发电分析报告.docx》</w:t>
            </w:r>
          </w:p>
        </w:tc>
      </w:tr>
      <w:tr w14:paraId="4BE6C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1FFBAF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B3C61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室内空气质量优化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C2EA3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甲醛降低85.1%，苯降低98.2%，TVOC降低72.8%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A14BD4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《污染物浓度预评估.docx》</w:t>
            </w:r>
          </w:p>
        </w:tc>
      </w:tr>
      <w:tr w14:paraId="3A93A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098263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FF48CD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自然通风与采光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98B01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换气次数达标比例92.39%，采光达标率100%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7A9725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《公共建筑换气次数计算书.docx》《建筑采光分析报告书.docx》</w:t>
            </w:r>
          </w:p>
        </w:tc>
      </w:tr>
      <w:tr w14:paraId="29431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1CC3A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8B0FB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碳排放控制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E60FAE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降碳率59.22%，年均碳排放1.0kgCO</w:t>
            </w:r>
            <w:r>
              <w:rPr>
                <w:rFonts w:ascii="Cambria Math" w:hAnsi="Cambria Math" w:cs="Cambria Math"/>
                <w:color w:val="2C3E50"/>
                <w:kern w:val="0"/>
                <w:sz w:val="23"/>
                <w:szCs w:val="23"/>
                <w14:ligatures w14:val="none"/>
              </w:rPr>
              <w:t>₂</w:t>
            </w: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/(㎡·a)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CF4754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《低碳建筑评价报告书.docx》《建筑碳排放分析专篇.docx》</w:t>
            </w:r>
          </w:p>
        </w:tc>
      </w:tr>
      <w:tr w14:paraId="20722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279F24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10ED3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室外风环境与声环境优化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6A09B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人行区风速&lt;5m/s，场地噪声57dB(A)（昼间）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0463B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《室外风环境模拟分析报告.docx》《室外噪声模拟分析报告.docx》</w:t>
            </w:r>
          </w:p>
        </w:tc>
      </w:tr>
    </w:tbl>
    <w:p w14:paraId="56010E7E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3 高性能围护结构创新</w:t>
      </w:r>
    </w:p>
    <w:p w14:paraId="0195D94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3.1 技术措施</w:t>
      </w:r>
    </w:p>
    <w:p w14:paraId="6CBDE869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本项目采用高性能保温材料及构造：外墙采用“抗裂砂浆+岩棉保温板（ρ≥140）200mm+石灰砂浆+蒸压加气混凝土B06”，平均传热系数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0.19 W/(㎡·K)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；屋顶采用“水泥砂浆+防水卷材+挤塑聚苯板150mm+钢筋混凝土”，传热系数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0.18 W/(㎡·K)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；外窗采用塑料真空玻璃（5+V+5+12A+5Low-E），传热系数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1.20 W/(㎡·K)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。</w:t>
      </w:r>
      <w:r>
        <w:rPr>
          <w:rFonts w:hint="eastAsia" w:ascii="微软雅黑" w:hAnsi="微软雅黑" w:cs="宋体"/>
          <w:i/>
          <w:iCs/>
          <w:color w:val="777777"/>
          <w:kern w:val="0"/>
          <w:sz w:val="18"/>
          <w:szCs w:val="18"/>
          <w14:ligatures w14:val="none"/>
        </w:rPr>
        <w:t>（《建筑节能设计报告书》《围护结构节能率分析报告》）</w:t>
      </w:r>
    </w:p>
    <w:p w14:paraId="4C8A0000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3.2 创新性分析</w:t>
      </w:r>
    </w:p>
    <w:p w14:paraId="652EEF1E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参照国家节能标准建筑，本项目供暖空调负荷降低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17.21%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，其中外墙传热系数优于参照建筑45.7%，屋顶优于参照建筑28%，外窗优于参照建筑20%。该性能提升幅度远超常规节能设计，达到超低能耗建筑水平。</w:t>
      </w:r>
    </w:p>
    <w:p w14:paraId="54983A0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3.3 可行性论证</w:t>
      </w:r>
    </w:p>
    <w:p w14:paraId="6EF7CAA1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所用材料（岩棉、挤塑聚苯板、真空玻璃）均为成熟产品，施工工艺简单，耐久性好。经软件模拟验证，全年动态负荷显著下降，技术可行。</w:t>
      </w:r>
    </w:p>
    <w:p w14:paraId="33256E63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4 可再生能源光伏系统创新</w:t>
      </w:r>
    </w:p>
    <w:p w14:paraId="3E08950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4.1 技术措施</w:t>
      </w:r>
    </w:p>
    <w:p w14:paraId="6A49BE79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在屋顶安装单晶硅光伏组件754块，总装机容量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301.6kWp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，组件面积898㎡，系统综合效率86.5%。采用“全额并网”模式，首年发电量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337.04MWh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，25年总发电量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7939.25MWh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。</w:t>
      </w:r>
      <w:r>
        <w:rPr>
          <w:rFonts w:hint="eastAsia" w:ascii="微软雅黑" w:hAnsi="微软雅黑" w:cs="宋体"/>
          <w:i/>
          <w:iCs/>
          <w:color w:val="777777"/>
          <w:kern w:val="0"/>
          <w:sz w:val="18"/>
          <w:szCs w:val="18"/>
          <w14:ligatures w14:val="none"/>
        </w:rPr>
        <w:t>（《光伏发电分析报告.docx》）</w:t>
      </w:r>
    </w:p>
    <w:p w14:paraId="2A1D2A1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4.2 创新性分析</w:t>
      </w:r>
    </w:p>
    <w:p w14:paraId="3BE53B34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光伏装机容量远超建筑自身用电需求（年综合电耗约54.39kWh/㎡，总用电约150MWh/年），多余电量反哺电网，实现“负碳”运行。可再生能源利用率高达119.63%（《可再生能源利用报告书》），属近零碳建筑范畴。</w:t>
      </w:r>
    </w:p>
    <w:p w14:paraId="641D1B38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4.3 效益论证</w:t>
      </w:r>
    </w:p>
    <w:p w14:paraId="4BAA31AC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预计运营期内可减少CO</w:t>
      </w:r>
      <w:r>
        <w:rPr>
          <w:rFonts w:ascii="Cambria Math" w:hAnsi="Cambria Math" w:cs="Cambria Math"/>
          <w:color w:val="2C3E50"/>
          <w:kern w:val="0"/>
          <w:sz w:val="27"/>
          <w:szCs w:val="27"/>
          <w14:ligatures w14:val="none"/>
        </w:rPr>
        <w:t>₂</w:t>
      </w:r>
      <w:r>
        <w:rPr>
          <w:rFonts w:hint="eastAsia" w:ascii="微软雅黑" w:hAnsi="微软雅黑" w:cs="微软雅黑"/>
          <w:color w:val="2C3E50"/>
          <w:kern w:val="0"/>
          <w:sz w:val="27"/>
          <w:szCs w:val="27"/>
          <w14:ligatures w14:val="none"/>
        </w:rPr>
        <w:t>排放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4295吨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，静态投资回收期12.7年，内部收益率5.97%，具有显著的环境和经济效益。</w:t>
      </w:r>
    </w:p>
    <w:p w14:paraId="5B4076C3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5 室内空气质量优化创新</w:t>
      </w:r>
    </w:p>
    <w:p w14:paraId="53190A8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5.1 技术措施</w:t>
      </w:r>
    </w:p>
    <w:p w14:paraId="02B5C845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通过选用低挥发释放率装修材料（面漆、地板、板材等均为F1级），结合机械通风与空气净化器，使主要污染物浓度大幅降低：甲醛0.012mg/m³（降85.1%），苯0.001mg/m³（降98.2%），TVOC0.163mg/m³（降72.8%）。PM2.5年均浓度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9.9μg/m³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，PM10年均浓度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17.0μg/m³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。</w:t>
      </w:r>
      <w:r>
        <w:rPr>
          <w:rFonts w:hint="eastAsia" w:ascii="微软雅黑" w:hAnsi="微软雅黑" w:cs="宋体"/>
          <w:i/>
          <w:iCs/>
          <w:color w:val="777777"/>
          <w:kern w:val="0"/>
          <w:sz w:val="18"/>
          <w:szCs w:val="18"/>
          <w14:ligatures w14:val="none"/>
        </w:rPr>
        <w:t>（《污染物浓度预评估.docx》）</w:t>
      </w:r>
    </w:p>
    <w:p w14:paraId="12D0AFC6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5.2 创新性分析</w:t>
      </w:r>
    </w:p>
    <w:p w14:paraId="6AF3F4F4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三项污染物降幅均超过70%，远超绿色建筑三星级要求（20%），PM2.5浓度优于WHO指导值。采用“源头控制+主动净化+实时预评估”的综合策略，实现了室内空气品质的可控与优化。</w:t>
      </w:r>
    </w:p>
    <w:p w14:paraId="2C09240F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5.3 可行性论证</w:t>
      </w:r>
    </w:p>
    <w:p w14:paraId="75B9312E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所选材料均有国家环保认证，净化设备技术成熟，模拟结果与实测案例吻合，措施可行。</w:t>
      </w:r>
    </w:p>
    <w:p w14:paraId="5CA0BAD4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6 自然通风与采光创新</w:t>
      </w:r>
    </w:p>
    <w:p w14:paraId="1D2C4071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6.1 技术措施</w:t>
      </w:r>
    </w:p>
    <w:p w14:paraId="45B0F855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通过优化建筑平面布局和外窗设计，过渡季主要功能房间平均换气次数大于2次/h的面积比例达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92.39%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；采光系数达标率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100%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，内区采光达标率100%，眩光指数全部满足要求。</w:t>
      </w:r>
      <w:r>
        <w:rPr>
          <w:rFonts w:hint="eastAsia" w:ascii="微软雅黑" w:hAnsi="微软雅黑" w:cs="宋体"/>
          <w:i/>
          <w:iCs/>
          <w:color w:val="777777"/>
          <w:kern w:val="0"/>
          <w:sz w:val="18"/>
          <w:szCs w:val="18"/>
          <w14:ligatures w14:val="none"/>
        </w:rPr>
        <w:t>（《公共建筑换气次数计算书》《建筑采光分析报告书》）</w:t>
      </w:r>
    </w:p>
    <w:p w14:paraId="3133A11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6.2 创新性分析</w:t>
      </w:r>
    </w:p>
    <w:p w14:paraId="24B7720E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自然通风和采光设计不仅提升舒适度，更降低机械通风和照明能耗。92.39%的换气次数达标率远超常规设计（通常70%），且动态采光达标时长平均大于4h/d，实现健康与节能的统一。</w:t>
      </w:r>
    </w:p>
    <w:p w14:paraId="2C9F4B3E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6.3 可行性论证</w:t>
      </w:r>
    </w:p>
    <w:p w14:paraId="7616604A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采用CFD模拟验证，开窗位置、面积合理，无涡流无风区，技术可靠。</w:t>
      </w:r>
    </w:p>
    <w:p w14:paraId="5378DDC2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7 碳排放控制创新</w:t>
      </w:r>
    </w:p>
    <w:p w14:paraId="5EE0447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7.1 技术措施</w:t>
      </w:r>
    </w:p>
    <w:p w14:paraId="5CAEDBF9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综合节能与可再生能源利用，使建筑运行碳排放强度降至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1.0kgCO</w:t>
      </w:r>
      <w:r>
        <w:rPr>
          <w:rFonts w:ascii="Cambria Math" w:hAnsi="Cambria Math" w:cs="Cambria Math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₂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/(㎡·a)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（《建筑碳排放分析专篇》），相对基准建筑降碳率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59.22%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（《低碳建筑评价报告书》），满足近零碳建筑指标。</w:t>
      </w:r>
    </w:p>
    <w:p w14:paraId="3B39C46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7.2 创新性分析</w:t>
      </w:r>
    </w:p>
    <w:p w14:paraId="322FD724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通过主动式节能与被动式设计结合，碳排放强度远低于同类建筑平均水平（约30-50kgCO</w:t>
      </w:r>
      <w:r>
        <w:rPr>
          <w:rFonts w:ascii="Cambria Math" w:hAnsi="Cambria Math" w:cs="Cambria Math"/>
          <w:color w:val="2C3E50"/>
          <w:kern w:val="0"/>
          <w:sz w:val="27"/>
          <w:szCs w:val="27"/>
          <w14:ligatures w14:val="none"/>
        </w:rPr>
        <w:t>₂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/㎡·a）。光伏系统产生的碳减排量可完全抵消运行阶段直接排放，实现碳中和。</w:t>
      </w:r>
    </w:p>
    <w:p w14:paraId="705D5D5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7.3 可行性论证</w:t>
      </w:r>
    </w:p>
    <w:p w14:paraId="48D39818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基于DOE2内核动态模拟，数据可靠；光伏系统已成熟应用，碳核算方法符合GB/T51366标准。</w:t>
      </w:r>
    </w:p>
    <w:p w14:paraId="787EAC5A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8 室外风环境与声环境优化</w:t>
      </w:r>
    </w:p>
    <w:p w14:paraId="2EA6FE8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8.1 技术措施</w:t>
      </w:r>
    </w:p>
    <w:p w14:paraId="577EF7AD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冬季工况人行区风速最大2.67m/s（&lt;5m/s），户外休息区风速1.43m/s（&lt;2m/s），风速放大系数≤1.26；夏季无涡旋无风区，50%以上外窗风压差&gt;0.5Pa。场地昼间噪声57dB(A)，夜间45dB(A)，优于2类声环境功能区限值。</w:t>
      </w:r>
      <w:r>
        <w:rPr>
          <w:rFonts w:hint="eastAsia" w:ascii="微软雅黑" w:hAnsi="微软雅黑" w:cs="宋体"/>
          <w:i/>
          <w:iCs/>
          <w:color w:val="777777"/>
          <w:kern w:val="0"/>
          <w:sz w:val="18"/>
          <w:szCs w:val="18"/>
          <w14:ligatures w14:val="none"/>
        </w:rPr>
        <w:t>（《室外风环境模拟分析报告》《室外噪声模拟分析报告》）</w:t>
      </w:r>
    </w:p>
    <w:p w14:paraId="3CF08D00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8.2 创新性分析</w:t>
      </w:r>
    </w:p>
    <w:p w14:paraId="735E1B14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通过建筑布局优化，在严寒地区实现冬季防风与夏季通风的平衡，且室外声环境达到较高舒适等级，为公共活动提供良好外部条件。</w:t>
      </w:r>
    </w:p>
    <w:p w14:paraId="7C41C58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1E7E5A"/>
          <w:kern w:val="0"/>
          <w:sz w:val="27"/>
          <w:szCs w:val="27"/>
          <w14:ligatures w14:val="none"/>
        </w:rPr>
        <w:t>8.3 可行性论证</w:t>
      </w:r>
    </w:p>
    <w:p w14:paraId="024492A9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基于CFD和声学模拟，结论可靠，措施落地可行。</w:t>
      </w:r>
    </w:p>
    <w:p w14:paraId="1BBB082E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9 综合效益分析</w:t>
      </w:r>
    </w:p>
    <w:p w14:paraId="71359BAF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各项创新措施协同作用，产生以下综合效益：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4368"/>
        <w:gridCol w:w="3205"/>
      </w:tblGrid>
      <w:tr w14:paraId="26AE3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0A28AA7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效益类别</w:t>
            </w:r>
          </w:p>
        </w:tc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6ADE8BB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量化指标</w:t>
            </w:r>
          </w:p>
        </w:tc>
        <w:tc>
          <w:tcPr>
            <w:tcW w:w="0" w:type="auto"/>
            <w:tcBorders>
              <w:top w:val="single" w:color="0A3629" w:sz="6" w:space="0"/>
              <w:left w:val="single" w:color="0A3629" w:sz="6" w:space="0"/>
              <w:bottom w:val="single" w:color="0A3629" w:sz="6" w:space="0"/>
              <w:right w:val="single" w:color="0A3629" w:sz="6" w:space="0"/>
            </w:tcBorders>
            <w:shd w:val="clear" w:color="auto" w:fill="0F4D3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C63363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与常规建筑对比</w:t>
            </w:r>
          </w:p>
        </w:tc>
      </w:tr>
      <w:tr w14:paraId="1682B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4231264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节能效益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8541E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年节能量约50万kWh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33DD78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降低能耗30%以上</w:t>
            </w:r>
          </w:p>
        </w:tc>
      </w:tr>
      <w:tr w14:paraId="6494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EC2286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减碳效益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3F53DB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年减碳4295t（25年）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4DFA9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接近零碳运行</w:t>
            </w:r>
          </w:p>
        </w:tc>
      </w:tr>
      <w:tr w14:paraId="77201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517100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经济效益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68E12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光伏收益273.86万元（25年）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E92219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投资回收期12.7年</w:t>
            </w:r>
          </w:p>
        </w:tc>
      </w:tr>
      <w:tr w14:paraId="06BCF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1EE67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健康效益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7C352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污染物浓度降低70%~98%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0EFAE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室内空气品质显著提升</w:t>
            </w:r>
          </w:p>
        </w:tc>
      </w:tr>
      <w:tr w14:paraId="2A56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8D4776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社会效益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FB3B4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为严寒地区近零碳建筑提供示范</w:t>
            </w:r>
          </w:p>
        </w:tc>
        <w:tc>
          <w:tcPr>
            <w:tcW w:w="0" w:type="auto"/>
            <w:tcBorders>
              <w:top w:val="single" w:color="B0C4DE" w:sz="6" w:space="0"/>
              <w:left w:val="single" w:color="B0C4DE" w:sz="6" w:space="0"/>
              <w:bottom w:val="single" w:color="B0C4DE" w:sz="6" w:space="0"/>
              <w:right w:val="single" w:color="B0C4DE" w:sz="6" w:space="0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1E0296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推动绿色建筑技术创新</w:t>
            </w:r>
          </w:p>
        </w:tc>
      </w:tr>
    </w:tbl>
    <w:p w14:paraId="2417D824">
      <w:pPr>
        <w:widowControl/>
        <w:jc w:val="left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</w:p>
    <w:p w14:paraId="0D665E14">
      <w:pPr>
        <w:widowControl/>
        <w:jc w:val="left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br w:type="page"/>
      </w:r>
    </w:p>
    <w:p w14:paraId="427C2409">
      <w:pPr>
        <w:widowControl/>
        <w:pBdr>
          <w:left w:val="single" w:color="0F4D3A" w:sz="36" w:space="11"/>
        </w:pBdr>
        <w:shd w:val="clear" w:color="auto" w:fill="ECF7F2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F4D3A"/>
          <w:kern w:val="0"/>
          <w:sz w:val="33"/>
          <w:szCs w:val="33"/>
          <w14:ligatures w14:val="none"/>
        </w:rPr>
        <w:t>10 结论与建议</w:t>
      </w:r>
    </w:p>
    <w:p w14:paraId="2F7F362D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通过高性能围护结构、光伏发电、空气质量控制、自然通风采光、碳减排等六大类创新措施，实现了建筑节能、减排、健康、舒适的多重目标。所有创新措施均有详细模拟数据支撑，技术成熟可行，综合效益显著。建议在施工及运营阶段严格按设计实施，并开展后评估，为同类项目提供借鉴。</w:t>
      </w:r>
    </w:p>
    <w:p w14:paraId="3E4E2C12">
      <w:pPr>
        <w:widowControl/>
        <w:shd w:val="clear" w:color="auto" w:fill="F0F9FF"/>
        <w:jc w:val="left"/>
        <w:rPr>
          <w:rFonts w:hint="eastAsia" w:ascii="微软雅黑" w:hAnsi="微软雅黑" w:cs="宋体"/>
          <w:color w:val="444444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b/>
          <w:bCs/>
          <w:color w:val="444444"/>
          <w:kern w:val="0"/>
          <w:sz w:val="21"/>
          <w:szCs w:val="21"/>
          <w14:ligatures w14:val="none"/>
        </w:rPr>
        <w:t>注：</w:t>
      </w:r>
      <w:r>
        <w:rPr>
          <w:rFonts w:hint="eastAsia" w:ascii="微软雅黑" w:hAnsi="微软雅黑" w:cs="宋体"/>
          <w:color w:val="444444"/>
          <w:kern w:val="0"/>
          <w:sz w:val="21"/>
          <w:szCs w:val="21"/>
          <w14:ligatures w14:val="none"/>
        </w:rPr>
        <w:t> 本报告所引数据均来自项目各专项分析报告，确保真实有效，未做任何编撰。创新措施的界定基于与国家现行标准及常规做法的对比。</w:t>
      </w:r>
    </w:p>
    <w:p w14:paraId="32696017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57B41C13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79799111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732226"/>
      <w:docPartObj>
        <w:docPartGallery w:val="AutoText"/>
      </w:docPartObj>
    </w:sdtPr>
    <w:sdtContent>
      <w:p w14:paraId="332F4F19">
        <w:pPr>
          <w:pStyle w:val="11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8BC302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C1160"/>
    <w:multiLevelType w:val="multilevel"/>
    <w:tmpl w:val="280C11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84"/>
    <w:rsid w:val="000A2784"/>
    <w:rsid w:val="000D1467"/>
    <w:rsid w:val="002F73B7"/>
    <w:rsid w:val="00320E74"/>
    <w:rsid w:val="00427C84"/>
    <w:rsid w:val="0049025D"/>
    <w:rsid w:val="005261B6"/>
    <w:rsid w:val="005516BF"/>
    <w:rsid w:val="00A01CE6"/>
    <w:rsid w:val="00B242C8"/>
    <w:rsid w:val="00C134F6"/>
    <w:rsid w:val="00C15911"/>
    <w:rsid w:val="00C905BA"/>
    <w:rsid w:val="00C943D5"/>
    <w:rsid w:val="00F11FB6"/>
    <w:rsid w:val="00FC5B70"/>
    <w:rsid w:val="17F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2606</Words>
  <Characters>3379</Characters>
  <Lines>25</Lines>
  <Paragraphs>7</Paragraphs>
  <TotalTime>3</TotalTime>
  <ScaleCrop>false</ScaleCrop>
  <LinksUpToDate>false</LinksUpToDate>
  <CharactersWithSpaces>3445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2026-03-11T01:36:00Z</dcterms:created>
  <dc:creator>xing yu</dc:creator>
  <cp:lastModifiedBy>徐沐</cp:lastModifiedBy>
  <dcterms:modified xsi:type="dcterms:W3CDTF">2026-03-11T03:50:23Z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A3F56D94C430455D80D5A423F3817213_12</vt:lpwstr>
  </property>
</Properties>
</file>