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558EF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充分利用天然光。（12分）</w:t>
      </w:r>
    </w:p>
    <w:p w14:paraId="3A41A85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063"/>
        <w:gridCol w:w="3187"/>
        <w:gridCol w:w="1533"/>
        <w:gridCol w:w="1300"/>
      </w:tblGrid>
      <w:tr w14:paraId="377C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 w14:paraId="03E49B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250" w:type="dxa"/>
            <w:gridSpan w:val="2"/>
            <w:vAlign w:val="center"/>
          </w:tcPr>
          <w:p w14:paraId="743236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33" w:type="dxa"/>
            <w:vAlign w:val="center"/>
          </w:tcPr>
          <w:p w14:paraId="455008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 w14:paraId="2A5C71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4D24C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08" w:type="dxa"/>
            <w:vAlign w:val="center"/>
          </w:tcPr>
          <w:p w14:paraId="34E116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250" w:type="dxa"/>
            <w:gridSpan w:val="2"/>
            <w:vAlign w:val="center"/>
          </w:tcPr>
          <w:p w14:paraId="3A2C51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住宅建筑：主要功能空间至少60%面积比例区域采光照度值不低于300lx的小时数平均不少于8h/d</w:t>
            </w:r>
          </w:p>
        </w:tc>
        <w:tc>
          <w:tcPr>
            <w:tcW w:w="1533" w:type="dxa"/>
            <w:vAlign w:val="center"/>
          </w:tcPr>
          <w:p w14:paraId="513FB9F9"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7019164"/>
            <w:placeholder>
              <w:docPart w:val="9865F4B2936842CC8F47A8FB7DFFD8B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14CE65D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</w:p>
            </w:tc>
          </w:sdtContent>
        </w:sdt>
      </w:tr>
      <w:tr w14:paraId="129A3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8" w:type="dxa"/>
            <w:vMerge w:val="restart"/>
            <w:vAlign w:val="center"/>
          </w:tcPr>
          <w:p w14:paraId="17DA78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63" w:type="dxa"/>
            <w:vMerge w:val="restart"/>
            <w:vAlign w:val="center"/>
          </w:tcPr>
          <w:p w14:paraId="333BB9B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公共建筑</w:t>
            </w:r>
          </w:p>
        </w:tc>
        <w:tc>
          <w:tcPr>
            <w:tcW w:w="3187" w:type="dxa"/>
            <w:vAlign w:val="center"/>
          </w:tcPr>
          <w:p w14:paraId="1550E0D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内区采光系数满足采光要求的面积比例达到60%</w:t>
            </w:r>
          </w:p>
        </w:tc>
        <w:tc>
          <w:tcPr>
            <w:tcW w:w="1533" w:type="dxa"/>
            <w:vAlign w:val="center"/>
          </w:tcPr>
          <w:p w14:paraId="5ACEBB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180955925"/>
            <w:placeholder>
              <w:docPart w:val="70DBA64A841B4FC1B88B2400C64BA0F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Merge w:val="restart"/>
                <w:vAlign w:val="center"/>
              </w:tcPr>
              <w:p w14:paraId="47F1641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12  </w:t>
                </w:r>
              </w:p>
            </w:tc>
          </w:sdtContent>
        </w:sdt>
      </w:tr>
      <w:tr w14:paraId="380C8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8" w:type="dxa"/>
            <w:vMerge w:val="continue"/>
            <w:vAlign w:val="center"/>
          </w:tcPr>
          <w:p w14:paraId="413AEBA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0C6E7A2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0550C48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地下空间平均采光系数≥0.5%的面积与首层地下室面积的比例达到10%以上</w:t>
            </w:r>
          </w:p>
        </w:tc>
        <w:tc>
          <w:tcPr>
            <w:tcW w:w="1533" w:type="dxa"/>
            <w:vAlign w:val="center"/>
          </w:tcPr>
          <w:p w14:paraId="0690DF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1300" w:type="dxa"/>
            <w:vMerge w:val="continue"/>
            <w:vAlign w:val="center"/>
          </w:tcPr>
          <w:p w14:paraId="7EEBD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3179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8" w:type="dxa"/>
            <w:vMerge w:val="continue"/>
            <w:vAlign w:val="center"/>
          </w:tcPr>
          <w:p w14:paraId="532CD0D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7955A4F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65A6B38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主要功能空间至少60%面积比例区域采光照度值不低于采光要求的小时数平均不少于4h/d</w:t>
            </w:r>
          </w:p>
        </w:tc>
        <w:tc>
          <w:tcPr>
            <w:tcW w:w="1533" w:type="dxa"/>
            <w:vAlign w:val="center"/>
          </w:tcPr>
          <w:p w14:paraId="47414D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1300" w:type="dxa"/>
            <w:vMerge w:val="continue"/>
            <w:vAlign w:val="center"/>
          </w:tcPr>
          <w:p w14:paraId="2F59622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5630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8" w:type="dxa"/>
            <w:gridSpan w:val="3"/>
            <w:vAlign w:val="center"/>
          </w:tcPr>
          <w:p w14:paraId="108441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533" w:type="dxa"/>
            <w:vAlign w:val="center"/>
          </w:tcPr>
          <w:p w14:paraId="3CC337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97192324"/>
            <w:placeholder>
              <w:docPart w:val="D19C577D18B6438EBF7D899AF7D8C86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283BB387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12  </w:t>
                </w:r>
              </w:p>
            </w:tc>
          </w:sdtContent>
        </w:sdt>
      </w:tr>
    </w:tbl>
    <w:p w14:paraId="131262B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59715DC">
      <w:r>
        <w:rPr>
          <w:rFonts w:hint="eastAsia"/>
        </w:rPr>
        <w:t>采光达标统计</w:t>
      </w:r>
    </w:p>
    <w:tbl>
      <w:tblPr>
        <w:tblStyle w:val="6"/>
        <w:tblW w:w="9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262"/>
        <w:gridCol w:w="2268"/>
        <w:gridCol w:w="1860"/>
        <w:gridCol w:w="1986"/>
        <w:gridCol w:w="1357"/>
      </w:tblGrid>
      <w:tr w14:paraId="4517C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tblHeader/>
          <w:jc w:val="center"/>
        </w:trPr>
        <w:tc>
          <w:tcPr>
            <w:tcW w:w="716" w:type="dxa"/>
            <w:vMerge w:val="restart"/>
            <w:vAlign w:val="center"/>
          </w:tcPr>
          <w:p w14:paraId="402E98D3">
            <w:r>
              <w:rPr>
                <w:rFonts w:hint="eastAsia"/>
              </w:rPr>
              <w:t>内区</w:t>
            </w:r>
          </w:p>
        </w:tc>
        <w:tc>
          <w:tcPr>
            <w:tcW w:w="1262" w:type="dxa"/>
            <w:vAlign w:val="center"/>
          </w:tcPr>
          <w:p w14:paraId="56A9B2E3"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2268" w:type="dxa"/>
            <w:vAlign w:val="center"/>
          </w:tcPr>
          <w:p w14:paraId="47409F4F">
            <w:pPr>
              <w:jc w:val="center"/>
            </w:pPr>
            <w:r>
              <w:rPr>
                <w:rFonts w:hint="eastAsia"/>
              </w:rPr>
              <w:t>主要功能空间面积</w:t>
            </w:r>
          </w:p>
          <w:p w14:paraId="152C624F"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60" w:type="dxa"/>
          </w:tcPr>
          <w:p w14:paraId="62C4248C">
            <w:pPr>
              <w:jc w:val="center"/>
            </w:pPr>
            <w:r>
              <w:rPr>
                <w:rFonts w:hint="eastAsia"/>
              </w:rPr>
              <w:t>内区面积</w:t>
            </w:r>
          </w:p>
          <w:p w14:paraId="19BB0360"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14:paraId="367D3EA9">
            <w:pPr>
              <w:jc w:val="center"/>
            </w:pPr>
            <w:r>
              <w:rPr>
                <w:rFonts w:hint="eastAsia"/>
              </w:rPr>
              <w:t>采光达标面积</w:t>
            </w:r>
          </w:p>
          <w:p w14:paraId="7DD9A97D"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14:paraId="22482749">
            <w:pPr>
              <w:jc w:val="center"/>
            </w:pPr>
            <w:r>
              <w:rPr>
                <w:rFonts w:hint="eastAsia"/>
              </w:rPr>
              <w:t>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 w14:paraId="2ACC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 w14:paraId="3D27E16A"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84748481"/>
            <w:placeholder>
              <w:docPart w:val="C72816F4F8874447B7B12CB94C468D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 w14:paraId="3DFF68B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阅览室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62989038"/>
            <w:placeholder>
              <w:docPart w:val="DEE1A7E454C647FFAE416789311A716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0A60F9B8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2000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46202018"/>
            <w:placeholder>
              <w:docPart w:val="16EFDCF673B345D7A1A7409F9AE9BD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 w14:paraId="4558B50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1500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90901502"/>
            <w:placeholder>
              <w:docPart w:val="A2D15FF30E9240B9926AC3889C9865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77259552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1300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83281802"/>
            <w:placeholder>
              <w:docPart w:val="2A63E484EA244DADB3E36F172C6638B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77DE6B70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80</w:t>
                </w:r>
              </w:p>
            </w:tc>
          </w:sdtContent>
        </w:sdt>
      </w:tr>
      <w:tr w14:paraId="47D22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 w14:paraId="079F6F99"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27171253"/>
            <w:placeholder>
              <w:docPart w:val="A945B049A78B4772934229F9B2C0D4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 w14:paraId="0A88ED8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会议室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33471606"/>
            <w:placeholder>
              <w:docPart w:val="B2B639F613114A06A60BDA13AF0841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420DA05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1500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7232165"/>
            <w:placeholder>
              <w:docPart w:val="6BCFCFC6E80046CD8CB5D43782B8664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 w14:paraId="1FCE432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1300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90299423"/>
            <w:placeholder>
              <w:docPart w:val="DFC48C86A33D437B9E60068BD56BFC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  <w:vAlign w:val="center"/>
              </w:tcPr>
              <w:p w14:paraId="46F3764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1200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22445506"/>
            <w:placeholder>
              <w:docPart w:val="4DBCBC6C34244DF8B894B6E26331C8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050C66D8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80 </w:t>
                </w:r>
              </w:p>
            </w:tc>
          </w:sdtContent>
        </w:sdt>
      </w:tr>
      <w:tr w14:paraId="5ED1E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 w14:paraId="653CC045"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00327363"/>
            <w:placeholder>
              <w:docPart w:val="C28B1DCB10DE4171BDAB85D2DA54C86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 w14:paraId="66A90F53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自习室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1059447"/>
            <w:placeholder>
              <w:docPart w:val="68AE5535A03442939C1E9E5933A9411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7EBDD17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1500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72889380"/>
            <w:placeholder>
              <w:docPart w:val="5DB3B7773F334FDFA9A40671E8266B5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 w14:paraId="5318EAA3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1300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27902240"/>
            <w:placeholder>
              <w:docPart w:val="8B32F8681F464DB99280AE486908E4F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7DEE628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1200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84420747"/>
            <w:placeholder>
              <w:docPart w:val="7063D55C435C41B4817CE5620E316B4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3D46C3C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80 </w:t>
                </w:r>
              </w:p>
            </w:tc>
          </w:sdtContent>
        </w:sdt>
      </w:tr>
      <w:tr w14:paraId="68FD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 w14:paraId="34D1DD8E"/>
        </w:tc>
        <w:tc>
          <w:tcPr>
            <w:tcW w:w="1262" w:type="dxa"/>
            <w:vAlign w:val="center"/>
          </w:tcPr>
          <w:p w14:paraId="722D725D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合计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13510857"/>
            <w:placeholder>
              <w:docPart w:val="5B59D5F1610B4AFFB47115C3FE2800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54895B8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5000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77999371"/>
            <w:placeholder>
              <w:docPart w:val="3A9645D3ABCE490AA248DA28F762494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 w14:paraId="348A6DD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4100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94972913"/>
            <w:placeholder>
              <w:docPart w:val="C05E8C8ECFEC4EF4A2B6FEA71F3DB48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3DA5AD39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3700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70357835"/>
            <w:placeholder>
              <w:docPart w:val="75A03815BF8F4DD9B2646737FCA578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17F339CD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80  </w:t>
                </w:r>
              </w:p>
            </w:tc>
          </w:sdtContent>
        </w:sdt>
      </w:tr>
      <w:tr w14:paraId="58191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restart"/>
            <w:vAlign w:val="center"/>
          </w:tcPr>
          <w:p w14:paraId="55F38D43">
            <w:r>
              <w:rPr>
                <w:rFonts w:hint="eastAsia"/>
              </w:rPr>
              <w:t>住宅主要功能空间</w:t>
            </w:r>
          </w:p>
        </w:tc>
        <w:tc>
          <w:tcPr>
            <w:tcW w:w="1262" w:type="dxa"/>
            <w:vAlign w:val="center"/>
          </w:tcPr>
          <w:p w14:paraId="7B7F2531"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4128" w:type="dxa"/>
            <w:gridSpan w:val="2"/>
            <w:vAlign w:val="center"/>
          </w:tcPr>
          <w:p w14:paraId="57C2D18B">
            <w:pPr>
              <w:jc w:val="center"/>
            </w:pPr>
            <w:r>
              <w:rPr>
                <w:rFonts w:hint="eastAsia"/>
              </w:rPr>
              <w:t>采光照度值不低于300lx的小时数平均不少于8h/d面积（m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14:paraId="67EDAE5D">
            <w:pPr>
              <w:jc w:val="center"/>
            </w:pPr>
            <w:r>
              <w:rPr>
                <w:rFonts w:hint="eastAsia"/>
              </w:rPr>
              <w:t>主要功能空间面积（m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14:paraId="24472311">
            <w:pPr>
              <w:jc w:val="center"/>
            </w:pPr>
            <w:r>
              <w:rPr>
                <w:rFonts w:hint="eastAsia"/>
              </w:rPr>
              <w:t>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 w14:paraId="5C9C0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 w14:paraId="54C607C8"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6200979"/>
            <w:placeholder>
              <w:docPart w:val="3E9A5DC28DD0458D8748E281A2E02C8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 w14:paraId="4C2569A2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88751920"/>
            <w:placeholder>
              <w:docPart w:val="5C065DB1E359478DAC8046A1E1D5C4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 w14:paraId="52524DD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28785264"/>
            <w:placeholder>
              <w:docPart w:val="9D4D8315ACE048978D40080BF4765C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3A81BAE0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257417"/>
            <w:placeholder>
              <w:docPart w:val="CB289F9636834F98B1F03727D4350BC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1DEB07E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A9C8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 w14:paraId="68A51E6C"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9753133"/>
            <w:placeholder>
              <w:docPart w:val="D7A328D03AF24B76B2C8B3643DF5F9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 w14:paraId="218CF2A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06699769"/>
            <w:placeholder>
              <w:docPart w:val="E0BF8AF46154404E88064D18C879B7B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 w14:paraId="3746775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10794088"/>
            <w:placeholder>
              <w:docPart w:val="02D8D8B03D44405DA22344ED41BB71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255E248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6667101"/>
            <w:placeholder>
              <w:docPart w:val="3B6852003C0940A99542059884E963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27ACC8B5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8491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 w14:paraId="517DC91A"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66762225"/>
            <w:placeholder>
              <w:docPart w:val="5B7913444652426B849F390A351A98A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 w14:paraId="6198D883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51239392"/>
            <w:placeholder>
              <w:docPart w:val="08A8F45CDE5F4A02971E6DAB6D2573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 w14:paraId="3FB7134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07618194"/>
            <w:placeholder>
              <w:docPart w:val="4114AAEA98F740278965372AF0F320F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6D6B3DA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0211683"/>
            <w:placeholder>
              <w:docPart w:val="4C8E21D9595F4B15A867DAD94235253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4629AFC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F467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 w14:paraId="366D9911"/>
        </w:tc>
        <w:tc>
          <w:tcPr>
            <w:tcW w:w="1262" w:type="dxa"/>
            <w:vAlign w:val="center"/>
          </w:tcPr>
          <w:p w14:paraId="259600DC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05741005"/>
            <w:placeholder>
              <w:docPart w:val="29F79912161444248260C59D10B7CF4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 w14:paraId="06ABD00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82132958"/>
            <w:placeholder>
              <w:docPart w:val="F16B2E1F43D647D4B133839DB8C2FBB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0858DA7D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49323365"/>
            <w:placeholder>
              <w:docPart w:val="008718ABCFDA4865942EAD4B5B5266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53C2B27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FBD7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restart"/>
            <w:vAlign w:val="center"/>
          </w:tcPr>
          <w:p w14:paraId="7D6CAA68">
            <w:r>
              <w:rPr>
                <w:rFonts w:hint="eastAsia"/>
              </w:rPr>
              <w:t>公建主要功能空间</w:t>
            </w:r>
          </w:p>
        </w:tc>
        <w:tc>
          <w:tcPr>
            <w:tcW w:w="1262" w:type="dxa"/>
            <w:vAlign w:val="center"/>
          </w:tcPr>
          <w:p w14:paraId="4CD257AF"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4128" w:type="dxa"/>
            <w:gridSpan w:val="2"/>
            <w:vAlign w:val="center"/>
          </w:tcPr>
          <w:p w14:paraId="3C7AB0D0">
            <w:pPr>
              <w:jc w:val="center"/>
            </w:pPr>
            <w:r>
              <w:rPr>
                <w:rFonts w:hint="eastAsia"/>
              </w:rPr>
              <w:t>采光照度值不低于采光要求的小时数平均不少于8h/d面积（m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14:paraId="49DDE60A">
            <w:pPr>
              <w:jc w:val="center"/>
            </w:pPr>
            <w:r>
              <w:rPr>
                <w:rFonts w:hint="eastAsia"/>
              </w:rPr>
              <w:t>主要功能空间面积（m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14:paraId="60CEFC9A">
            <w:pPr>
              <w:jc w:val="center"/>
            </w:pPr>
            <w:r>
              <w:rPr>
                <w:rFonts w:hint="eastAsia"/>
              </w:rPr>
              <w:t>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 w14:paraId="5E6D0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 w14:paraId="6CE3EF1C"/>
        </w:tc>
        <w:tc>
          <w:tcPr>
            <w:tcW w:w="1262" w:type="dxa"/>
            <w:vAlign w:val="center"/>
          </w:tcPr>
          <w:p w14:paraId="7F58FA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阅览室</w:t>
            </w:r>
          </w:p>
        </w:tc>
        <w:tc>
          <w:tcPr>
            <w:tcW w:w="4128" w:type="dxa"/>
            <w:gridSpan w:val="2"/>
            <w:vAlign w:val="center"/>
          </w:tcPr>
          <w:p w14:paraId="1383B8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3000</w:t>
            </w:r>
          </w:p>
        </w:tc>
        <w:tc>
          <w:tcPr>
            <w:tcW w:w="1986" w:type="dxa"/>
            <w:vAlign w:val="center"/>
          </w:tcPr>
          <w:p w14:paraId="3F5BC3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2500</w:t>
            </w:r>
          </w:p>
        </w:tc>
        <w:tc>
          <w:tcPr>
            <w:tcW w:w="1357" w:type="dxa"/>
            <w:vAlign w:val="center"/>
          </w:tcPr>
          <w:p w14:paraId="3E625B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</w:tr>
      <w:tr w14:paraId="5449A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16" w:type="dxa"/>
            <w:vMerge w:val="continue"/>
          </w:tcPr>
          <w:p w14:paraId="2304450C"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45350646"/>
            <w:placeholder>
              <w:docPart w:val="5DE12014CDA1400D954C9ACAB8EBCF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 w14:paraId="75D9A23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会议室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4142320"/>
            <w:placeholder>
              <w:docPart w:val="F84A0F3E068D424582A441A235CE58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 w14:paraId="39311569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1500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19432449"/>
            <w:placeholder>
              <w:docPart w:val="DF125F64089C4A7AAD81F604C6E6ABC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2B0F39A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1200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57322824"/>
            <w:placeholder>
              <w:docPart w:val="621F3857ABFA4654831F82D2C4DFE8A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0224AE9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80  </w:t>
                </w:r>
              </w:p>
            </w:tc>
          </w:sdtContent>
        </w:sdt>
      </w:tr>
      <w:tr w14:paraId="6BE3C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16" w:type="dxa"/>
            <w:vMerge w:val="restart"/>
          </w:tcPr>
          <w:p w14:paraId="7872500B">
            <w:r>
              <w:rPr>
                <w:rFonts w:hint="eastAsia"/>
                <w:szCs w:val="21"/>
                <w:lang w:val="zh-CN"/>
              </w:rPr>
              <w:t>地下室</w:t>
            </w:r>
          </w:p>
        </w:tc>
        <w:tc>
          <w:tcPr>
            <w:tcW w:w="1262" w:type="dxa"/>
          </w:tcPr>
          <w:p w14:paraId="5475BB7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分析区域</w:t>
            </w:r>
          </w:p>
        </w:tc>
        <w:tc>
          <w:tcPr>
            <w:tcW w:w="4128" w:type="dxa"/>
            <w:gridSpan w:val="2"/>
          </w:tcPr>
          <w:p w14:paraId="43A4CB3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首层地下室面积（</w:t>
            </w: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986" w:type="dxa"/>
          </w:tcPr>
          <w:p w14:paraId="2415162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采光达标面积（m2）</w:t>
            </w:r>
          </w:p>
        </w:tc>
        <w:tc>
          <w:tcPr>
            <w:tcW w:w="1357" w:type="dxa"/>
          </w:tcPr>
          <w:p w14:paraId="57FEFAA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</w:rPr>
              <w:t>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 w14:paraId="5A8F8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</w:tcPr>
          <w:p w14:paraId="28DD75D3"/>
        </w:tc>
        <w:tc>
          <w:tcPr>
            <w:tcW w:w="1262" w:type="dxa"/>
          </w:tcPr>
          <w:p w14:paraId="52FDF6B8"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897113"/>
            <w:placeholder>
              <w:docPart w:val="07FD6A28F8E540C199ED12A5433B121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 w14:paraId="73EECD3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46743176"/>
            <w:placeholder>
              <w:docPart w:val="69EDF595686448489FD8BEE2540E841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2B4428D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12447677"/>
            <w:placeholder>
              <w:docPart w:val="7563B08F7FAB459ABBB712EA716448F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70DFF38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090CB4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DD2BF9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90C5C5D">
      <w:pPr>
        <w:rPr>
          <w:rFonts w:ascii="Times New Roman" w:hAnsi="Times New Roman" w:eastAsia="宋体" w:cs="Times New Roman"/>
          <w:szCs w:val="21"/>
        </w:rPr>
      </w:pPr>
      <w:bookmarkStart w:id="0" w:name="_Toc9944976"/>
      <w:bookmarkStart w:id="1" w:name="_Toc9944696"/>
      <w:bookmarkStart w:id="2" w:name="_Toc9945403"/>
      <w:bookmarkStart w:id="3" w:name="_Toc9945120"/>
      <w:bookmarkStart w:id="4" w:name="_Toc9945262"/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bookmarkEnd w:id="0"/>
      <w:bookmarkEnd w:id="1"/>
      <w:bookmarkEnd w:id="2"/>
      <w:bookmarkEnd w:id="3"/>
      <w:bookmarkEnd w:id="4"/>
      <w:r>
        <w:rPr>
          <w:rFonts w:ascii="Times New Roman" w:hAnsi="Times New Roman" w:eastAsia="宋体" w:cs="Times New Roman"/>
          <w:szCs w:val="21"/>
        </w:rPr>
        <w:t>建筑专业设计文件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7F0742C1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动态采光计算书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43AB185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公共建筑内</w:t>
      </w:r>
      <w:r>
        <w:rPr>
          <w:rFonts w:hint="eastAsia" w:ascii="Times New Roman" w:hAnsi="Times New Roman" w:eastAsia="宋体" w:cs="Times New Roman"/>
          <w:szCs w:val="21"/>
        </w:rPr>
        <w:t>区</w:t>
      </w:r>
      <w:r>
        <w:rPr>
          <w:rFonts w:ascii="Times New Roman" w:hAnsi="Times New Roman" w:eastAsia="宋体" w:cs="Times New Roman"/>
          <w:szCs w:val="21"/>
        </w:rPr>
        <w:t>及地下空间采光系数计算书或检测报告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15D1E21B"/>
    <w:p w14:paraId="2FDBDC22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1C7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17A60B5">
            <w:pPr>
              <w:pStyle w:val="16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动态采光计算书</w:t>
            </w:r>
          </w:p>
          <w:p w14:paraId="1EDCCB6F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公共建筑内区采光系数计算书</w:t>
            </w:r>
          </w:p>
          <w:p w14:paraId="17752656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公共建筑地下空间采光系数计算书</w:t>
            </w:r>
          </w:p>
          <w:p w14:paraId="044C6FE3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建筑专业图纸及设计说明</w:t>
            </w:r>
          </w:p>
          <w:p w14:paraId="2098D247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7B869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D86F54"/>
    <w:multiLevelType w:val="multilevel"/>
    <w:tmpl w:val="5DD86F54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908"/>
    <w:rsid w:val="00074A38"/>
    <w:rsid w:val="000C3401"/>
    <w:rsid w:val="00122B5E"/>
    <w:rsid w:val="0018471E"/>
    <w:rsid w:val="001B6669"/>
    <w:rsid w:val="001D7212"/>
    <w:rsid w:val="00281D00"/>
    <w:rsid w:val="0029135E"/>
    <w:rsid w:val="00295B48"/>
    <w:rsid w:val="002F256B"/>
    <w:rsid w:val="00332CCE"/>
    <w:rsid w:val="00333304"/>
    <w:rsid w:val="003F3E0E"/>
    <w:rsid w:val="004028E2"/>
    <w:rsid w:val="0042464C"/>
    <w:rsid w:val="00475088"/>
    <w:rsid w:val="004A7421"/>
    <w:rsid w:val="004D55FB"/>
    <w:rsid w:val="006334D1"/>
    <w:rsid w:val="006C6C06"/>
    <w:rsid w:val="00732F8B"/>
    <w:rsid w:val="00783366"/>
    <w:rsid w:val="007A7BF2"/>
    <w:rsid w:val="007C4C3D"/>
    <w:rsid w:val="00973BD2"/>
    <w:rsid w:val="00996A49"/>
    <w:rsid w:val="009A477F"/>
    <w:rsid w:val="00A14DB9"/>
    <w:rsid w:val="00A71BCD"/>
    <w:rsid w:val="00B05DD2"/>
    <w:rsid w:val="00BD0730"/>
    <w:rsid w:val="00D44495"/>
    <w:rsid w:val="00D95C7A"/>
    <w:rsid w:val="00E52908"/>
    <w:rsid w:val="00E535DC"/>
    <w:rsid w:val="00EC62F0"/>
    <w:rsid w:val="00F1088F"/>
    <w:rsid w:val="00F37393"/>
    <w:rsid w:val="00F458F1"/>
    <w:rsid w:val="1FC6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865F4B2936842CC8F47A8FB7DFFD8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D4FE97-8288-4FD6-A8A1-655A6B79F3F2}"/>
      </w:docPartPr>
      <w:docPartBody>
        <w:p w14:paraId="68BA51C6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DBA64A841B4FC1B88B2400C64BA0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2331CA-3C7A-478B-8523-A12022AE0D4B}"/>
      </w:docPartPr>
      <w:docPartBody>
        <w:p w14:paraId="1A684EC1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9C577D18B6438EBF7D899AF7D8C8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31877C-185E-401A-BB82-D6EEEEA08E9C}"/>
      </w:docPartPr>
      <w:docPartBody>
        <w:p w14:paraId="1DEA389D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2816F4F8874447B7B12CB94C468D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55AF43-36C3-4886-A854-E4784D6FD357}"/>
      </w:docPartPr>
      <w:docPartBody>
        <w:p w14:paraId="4E3D0DD7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E1A7E454C647FFAE416789311A71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64393B-B6F5-464A-920B-EEE443B2C89C}"/>
      </w:docPartPr>
      <w:docPartBody>
        <w:p w14:paraId="6C01802C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EFDCF673B345D7A1A7409F9AE9BD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D0FC52-D1A7-4103-8268-96C9316F83CF}"/>
      </w:docPartPr>
      <w:docPartBody>
        <w:p w14:paraId="7B05F407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D15FF30E9240B9926AC3889C9865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BB7670-6A01-4FAC-AC27-021918748E7C}"/>
      </w:docPartPr>
      <w:docPartBody>
        <w:p w14:paraId="410E65B3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63E484EA244DADB3E36F172C6638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C3DF3-8432-4860-B475-43404AD02653}"/>
      </w:docPartPr>
      <w:docPartBody>
        <w:p w14:paraId="7DD3DD65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45B049A78B4772934229F9B2C0D4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816966-0F15-47ED-9727-F8802EBAE9F5}"/>
      </w:docPartPr>
      <w:docPartBody>
        <w:p w14:paraId="189DCC22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2B639F613114A06A60BDA13AF0841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5A9386-2817-476E-A2B9-495C93FE3F43}"/>
      </w:docPartPr>
      <w:docPartBody>
        <w:p w14:paraId="16A5FF68">
          <w:pPr>
            <w:pStyle w:val="1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CFCFC6E80046CD8CB5D43782B8664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094290-B26B-4789-8249-82C232E37D33}"/>
      </w:docPartPr>
      <w:docPartBody>
        <w:p w14:paraId="2ED13409">
          <w:pPr>
            <w:pStyle w:val="1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C48C86A33D437B9E60068BD56BFC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D97088-DF0D-4927-ACD1-B11BFBD8DCFC}"/>
      </w:docPartPr>
      <w:docPartBody>
        <w:p w14:paraId="789EBD42">
          <w:pPr>
            <w:pStyle w:val="1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BCBC6C34244DF8B894B6E26331C8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5B2FB3-872B-41DC-94AD-E03E8FB5EA93}"/>
      </w:docPartPr>
      <w:docPartBody>
        <w:p w14:paraId="6BFFA606">
          <w:pPr>
            <w:pStyle w:val="1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8B1DCB10DE4171BDAB85D2DA54C8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781226-C540-4718-B6ED-5915BC6ACB71}"/>
      </w:docPartPr>
      <w:docPartBody>
        <w:p w14:paraId="40AF5EE6">
          <w:pPr>
            <w:pStyle w:val="1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AE5535A03442939C1E9E5933A941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04AC0E-002E-4600-AF13-05B087472863}"/>
      </w:docPartPr>
      <w:docPartBody>
        <w:p w14:paraId="5828E26A">
          <w:pPr>
            <w:pStyle w:val="1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B3B7773F334FDFA9A40671E8266B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A103EF-4D54-4250-B25A-7F0DA63C4E1F}"/>
      </w:docPartPr>
      <w:docPartBody>
        <w:p w14:paraId="42DAFE1C">
          <w:pPr>
            <w:pStyle w:val="2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32F8681F464DB99280AE486908E4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C650E2-87C9-4FCC-876A-176006FF02CE}"/>
      </w:docPartPr>
      <w:docPartBody>
        <w:p w14:paraId="728CEAC6">
          <w:pPr>
            <w:pStyle w:val="2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63D55C435C41B4817CE5620E316B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75498C-BD6C-4F41-B108-6107C1C3B095}"/>
      </w:docPartPr>
      <w:docPartBody>
        <w:p w14:paraId="45C88407">
          <w:pPr>
            <w:pStyle w:val="2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59D5F1610B4AFFB47115C3FE2800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5AD2A3-7E88-44B2-8C0D-8D65EF60D662}"/>
      </w:docPartPr>
      <w:docPartBody>
        <w:p w14:paraId="24B56987">
          <w:pPr>
            <w:pStyle w:val="2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9645D3ABCE490AA248DA28F76249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789ADA-9643-4F45-9E24-7857300CE828}"/>
      </w:docPartPr>
      <w:docPartBody>
        <w:p w14:paraId="647C0B20">
          <w:pPr>
            <w:pStyle w:val="2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5E8C8ECFEC4EF4A2B6FEA71F3DB48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869AAD-27D1-4591-BE21-101D8910BE25}"/>
      </w:docPartPr>
      <w:docPartBody>
        <w:p w14:paraId="71446868">
          <w:pPr>
            <w:pStyle w:val="2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A03815BF8F4DD9B2646737FCA578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F91443-8D3C-47AD-94C6-7C8AD0B449D1}"/>
      </w:docPartPr>
      <w:docPartBody>
        <w:p w14:paraId="7AEFAEB3">
          <w:pPr>
            <w:pStyle w:val="2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E9A5DC28DD0458D8748E281A2E02C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4E4B4B-2B1D-438D-87C4-29A997A94FC9}"/>
      </w:docPartPr>
      <w:docPartBody>
        <w:p w14:paraId="0221A212">
          <w:pPr>
            <w:pStyle w:val="2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065DB1E359478DAC8046A1E1D5C4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436164-4F0F-4B2C-B188-DC1F3A0E4D68}"/>
      </w:docPartPr>
      <w:docPartBody>
        <w:p w14:paraId="70E67995">
          <w:pPr>
            <w:pStyle w:val="2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4D8315ACE048978D40080BF4765C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A992E4-BD84-4B68-8744-1DFC9804CBAB}"/>
      </w:docPartPr>
      <w:docPartBody>
        <w:p w14:paraId="6AC594CB">
          <w:pPr>
            <w:pStyle w:val="2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289F9636834F98B1F03727D4350B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8A4698-8510-471A-A6D3-F25E4A8FE745}"/>
      </w:docPartPr>
      <w:docPartBody>
        <w:p w14:paraId="629A68CA">
          <w:pPr>
            <w:pStyle w:val="3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7A328D03AF24B76B2C8B3643DF5F9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E6734C-CE1C-47C3-BA14-2AF30E9380C5}"/>
      </w:docPartPr>
      <w:docPartBody>
        <w:p w14:paraId="05890F75">
          <w:pPr>
            <w:pStyle w:val="3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F8AF46154404E88064D18C879B7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85AE5B-BD84-4D99-A179-8B28DCE715DD}"/>
      </w:docPartPr>
      <w:docPartBody>
        <w:p w14:paraId="0D058BFA">
          <w:pPr>
            <w:pStyle w:val="3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D8D8B03D44405DA22344ED41BB71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29A5DE-7860-441C-903B-BF341B69A00D}"/>
      </w:docPartPr>
      <w:docPartBody>
        <w:p w14:paraId="62D03303">
          <w:pPr>
            <w:pStyle w:val="3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6852003C0940A99542059884E963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56D7A3-334E-4085-9DC9-9B506C04928B}"/>
      </w:docPartPr>
      <w:docPartBody>
        <w:p w14:paraId="6D5BC9FE">
          <w:pPr>
            <w:pStyle w:val="3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7913444652426B849F390A351A98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811805-AA2C-4DAE-96FB-A3CA196FC156}"/>
      </w:docPartPr>
      <w:docPartBody>
        <w:p w14:paraId="2C99FDD1">
          <w:pPr>
            <w:pStyle w:val="3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A8F45CDE5F4A02971E6DAB6D2573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BF53F1-F6A9-4157-9581-DD44BE81CAE2}"/>
      </w:docPartPr>
      <w:docPartBody>
        <w:p w14:paraId="34FEA27E">
          <w:pPr>
            <w:pStyle w:val="3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14AAEA98F740278965372AF0F320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9420B6-63D5-4736-A281-5AC8DD1488C3}"/>
      </w:docPartPr>
      <w:docPartBody>
        <w:p w14:paraId="6922EF64">
          <w:pPr>
            <w:pStyle w:val="3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8E21D9595F4B15A867DAD9423525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A07C90-07AC-46C0-AD62-97B03715641E}"/>
      </w:docPartPr>
      <w:docPartBody>
        <w:p w14:paraId="3E18871A">
          <w:pPr>
            <w:pStyle w:val="3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F79912161444248260C59D10B7CF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F4F844-37AB-4A4B-861F-94775FE372D4}"/>
      </w:docPartPr>
      <w:docPartBody>
        <w:p w14:paraId="0C4DC45E">
          <w:pPr>
            <w:pStyle w:val="3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6B2E1F43D647D4B133839DB8C2FBB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5C8BFE-42E2-4CA7-AEDD-ED933A50381A}"/>
      </w:docPartPr>
      <w:docPartBody>
        <w:p w14:paraId="2DBAF2B2">
          <w:pPr>
            <w:pStyle w:val="4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08718ABCFDA4865942EAD4B5B5266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D64183-49EF-4ABD-A25F-3DB34A0D3B89}"/>
      </w:docPartPr>
      <w:docPartBody>
        <w:p w14:paraId="2CF6F2C9">
          <w:pPr>
            <w:pStyle w:val="4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E12014CDA1400D954C9ACAB8EBCF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AF8A90-95A9-4FD8-8304-60C02D23636F}"/>
      </w:docPartPr>
      <w:docPartBody>
        <w:p w14:paraId="3746FB52">
          <w:pPr>
            <w:pStyle w:val="4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4A0F3E068D424582A441A235CE58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AD3ED7-BA5A-435F-A597-18A73690A331}"/>
      </w:docPartPr>
      <w:docPartBody>
        <w:p w14:paraId="7EFAA58C">
          <w:pPr>
            <w:pStyle w:val="4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125F64089C4A7AAD81F604C6E6AB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F3E44F-2AF5-4EAD-8B75-180ACD3BB907}"/>
      </w:docPartPr>
      <w:docPartBody>
        <w:p w14:paraId="1091BA1B">
          <w:pPr>
            <w:pStyle w:val="4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1F3857ABFA4654831F82D2C4DFE8A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F0741C-1F2B-45D4-83E5-CD05A2D6E3DF}"/>
      </w:docPartPr>
      <w:docPartBody>
        <w:p w14:paraId="3ADF7EE7">
          <w:pPr>
            <w:pStyle w:val="4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FD6A28F8E540C199ED12A5433B12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BD1E44-F146-43B2-900A-FAC92ECA0CCE}"/>
      </w:docPartPr>
      <w:docPartBody>
        <w:p w14:paraId="6B91433A">
          <w:pPr>
            <w:pStyle w:val="4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9EDF595686448489FD8BEE2540E84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828F49-2EC6-4F6B-8BCF-146CCF38D3DA}"/>
      </w:docPartPr>
      <w:docPartBody>
        <w:p w14:paraId="15E493DA">
          <w:pPr>
            <w:pStyle w:val="4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63B08F7FAB459ABBB712EA716448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93A50E-1C73-46F5-92A5-C9A753BE774C}"/>
      </w:docPartPr>
      <w:docPartBody>
        <w:p w14:paraId="24B762E1">
          <w:pPr>
            <w:pStyle w:val="4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3A"/>
    <w:rsid w:val="000C6789"/>
    <w:rsid w:val="00224F3F"/>
    <w:rsid w:val="003F3E0E"/>
    <w:rsid w:val="00406DF6"/>
    <w:rsid w:val="004A7421"/>
    <w:rsid w:val="004C051B"/>
    <w:rsid w:val="00520B3A"/>
    <w:rsid w:val="0061514A"/>
    <w:rsid w:val="006A0AE7"/>
    <w:rsid w:val="00876B59"/>
    <w:rsid w:val="0096188A"/>
    <w:rsid w:val="009C606A"/>
    <w:rsid w:val="00BC2F49"/>
    <w:rsid w:val="00D44495"/>
    <w:rsid w:val="00D50AD4"/>
    <w:rsid w:val="00E92317"/>
    <w:rsid w:val="00F26E12"/>
    <w:rsid w:val="00F66668"/>
    <w:rsid w:val="00F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9865F4B2936842CC8F47A8FB7DFFD8B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0DBA64A841B4FC1B88B2400C64BA0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19C577D18B6438EBF7D899AF7D8C8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C72816F4F8874447B7B12CB94C468D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EE1A7E454C647FFAE416789311A71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6EFDCF673B345D7A1A7409F9AE9BD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2D15FF30E9240B9926AC3889C9865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2A63E484EA244DADB3E36F172C6638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945B049A78B4772934229F9B2C0D4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2B639F613114A06A60BDA13AF0841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6BCFCFC6E80046CD8CB5D43782B866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FC48C86A33D437B9E60068BD56BFC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DBCBC6C34244DF8B894B6E26331C8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C28B1DCB10DE4171BDAB85D2DA54C8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8AE5535A03442939C1E9E5933A941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5DB3B7773F334FDFA9A40671E8266B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B32F8681F464DB99280AE486908E4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063D55C435C41B4817CE5620E316B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B59D5F1610B4AFFB47115C3FE2800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3A9645D3ABCE490AA248DA28F762494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05E8C8ECFEC4EF4A2B6FEA71F3DB48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75A03815BF8F4DD9B2646737FCA578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3E9A5DC28DD0458D8748E281A2E02C8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5C065DB1E359478DAC8046A1E1D5C4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9D4D8315ACE048978D40080BF4765C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CB289F9636834F98B1F03727D4350B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D7A328D03AF24B76B2C8B3643DF5F9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E0BF8AF46154404E88064D18C879B7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02D8D8B03D44405DA22344ED41BB71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3B6852003C0940A99542059884E963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5B7913444652426B849F390A351A98A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08A8F45CDE5F4A02971E6DAB6D2573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4114AAEA98F740278965372AF0F320F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4C8E21D9595F4B15A867DAD9423525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29F79912161444248260C59D10B7CF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F16B2E1F43D647D4B133839DB8C2FBB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008718ABCFDA4865942EAD4B5B5266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5DE12014CDA1400D954C9ACAB8EBCF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F84A0F3E068D424582A441A235CE58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DF125F64089C4A7AAD81F604C6E6AB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621F3857ABFA4654831F82D2C4DFE8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07FD6A28F8E540C199ED12A5433B12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9EDF595686448489FD8BEE2540E84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7563B08F7FAB459ABBB712EA716448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628</Characters>
  <Lines>167</Lines>
  <Paragraphs>95</Paragraphs>
  <TotalTime>54</TotalTime>
  <ScaleCrop>false</ScaleCrop>
  <LinksUpToDate>false</LinksUpToDate>
  <CharactersWithSpaces>720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2019-07-12T07:53:00Z</dcterms:created>
  <dc:creator>dongYP</dc:creator>
  <cp:lastModifiedBy>Santa Claus</cp:lastModifiedBy>
  <dcterms:modified xsi:type="dcterms:W3CDTF">2026-03-25T13:57:29Z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E724F2CDC4D04FB888FFC1D18E59672A_12</vt:lpwstr>
  </property>
</Properties>
</file>