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371E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9.2.4 场地</w:t>
      </w:r>
      <w:r>
        <w:rPr>
          <w:sz w:val="24"/>
          <w:szCs w:val="40"/>
        </w:rPr>
        <w:t>率容</w:t>
      </w:r>
      <w:r>
        <w:rPr>
          <w:rFonts w:hint="eastAsia"/>
          <w:sz w:val="24"/>
          <w:szCs w:val="40"/>
        </w:rPr>
        <w:t>绿</w:t>
      </w:r>
      <w:r>
        <w:rPr>
          <w:sz w:val="24"/>
          <w:szCs w:val="40"/>
        </w:rPr>
        <w:t>不低于</w:t>
      </w:r>
      <w:r>
        <w:rPr>
          <w:rFonts w:hint="eastAsia"/>
          <w:sz w:val="24"/>
          <w:szCs w:val="40"/>
        </w:rPr>
        <w:t>3.0。（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 w14:paraId="2704E7D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312"/>
        <w:gridCol w:w="1159"/>
        <w:gridCol w:w="1687"/>
        <w:gridCol w:w="1225"/>
      </w:tblGrid>
      <w:tr w14:paraId="57CD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</w:tcPr>
          <w:p w14:paraId="023FA6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93" w:type="pct"/>
            <w:gridSpan w:val="2"/>
          </w:tcPr>
          <w:p w14:paraId="5EF4DC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54" w:type="pct"/>
          </w:tcPr>
          <w:p w14:paraId="72AE5A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65" w:type="pct"/>
          </w:tcPr>
          <w:p w14:paraId="25DE2F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136D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88" w:type="pct"/>
            <w:vMerge w:val="restart"/>
            <w:vAlign w:val="center"/>
          </w:tcPr>
          <w:p w14:paraId="02B9D8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069" w:type="pct"/>
            <w:vMerge w:val="restart"/>
            <w:tcBorders>
              <w:right w:val="single" w:color="000000" w:sz="4" w:space="0"/>
            </w:tcBorders>
            <w:vAlign w:val="center"/>
          </w:tcPr>
          <w:p w14:paraId="2EA7A89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24" w:type="pct"/>
            <w:tcBorders>
              <w:left w:val="single" w:color="000000" w:sz="4" w:space="0"/>
            </w:tcBorders>
            <w:vAlign w:val="center"/>
          </w:tcPr>
          <w:p w14:paraId="6B25B5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1.0</w:t>
            </w:r>
          </w:p>
        </w:tc>
        <w:tc>
          <w:tcPr>
            <w:tcW w:w="1054" w:type="pct"/>
            <w:vAlign w:val="center"/>
          </w:tcPr>
          <w:p w14:paraId="70FB8C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097047029"/>
            <w:placeholder>
              <w:docPart w:val="2A101F5F60804F16A616DDC15D8420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65" w:type="pct"/>
                <w:vMerge w:val="restart"/>
              </w:tcPr>
              <w:p w14:paraId="7D391F2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A3F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88" w:type="pct"/>
            <w:vMerge w:val="continue"/>
            <w:vAlign w:val="center"/>
          </w:tcPr>
          <w:p w14:paraId="78ED578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pct"/>
            <w:vMerge w:val="continue"/>
            <w:tcBorders>
              <w:right w:val="single" w:color="000000" w:sz="4" w:space="0"/>
            </w:tcBorders>
            <w:vAlign w:val="center"/>
          </w:tcPr>
          <w:p w14:paraId="4442B3F9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24" w:type="pct"/>
            <w:tcBorders>
              <w:left w:val="single" w:color="000000" w:sz="4" w:space="0"/>
            </w:tcBorders>
            <w:vAlign w:val="center"/>
          </w:tcPr>
          <w:p w14:paraId="2B1D796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2.0</w:t>
            </w:r>
          </w:p>
        </w:tc>
        <w:tc>
          <w:tcPr>
            <w:tcW w:w="1054" w:type="pct"/>
            <w:vAlign w:val="center"/>
          </w:tcPr>
          <w:p w14:paraId="4DFF35A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65" w:type="pct"/>
            <w:vMerge w:val="continue"/>
          </w:tcPr>
          <w:p w14:paraId="52B9BAC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BFB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88" w:type="pct"/>
            <w:vMerge w:val="continue"/>
            <w:vAlign w:val="center"/>
          </w:tcPr>
          <w:p w14:paraId="53A2DA2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pct"/>
            <w:vMerge w:val="continue"/>
            <w:tcBorders>
              <w:right w:val="single" w:color="000000" w:sz="4" w:space="0"/>
            </w:tcBorders>
            <w:vAlign w:val="center"/>
          </w:tcPr>
          <w:p w14:paraId="2998F57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24" w:type="pct"/>
            <w:tcBorders>
              <w:left w:val="single" w:color="000000" w:sz="4" w:space="0"/>
            </w:tcBorders>
            <w:vAlign w:val="center"/>
          </w:tcPr>
          <w:p w14:paraId="77975C4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3.0</w:t>
            </w:r>
          </w:p>
        </w:tc>
        <w:tc>
          <w:tcPr>
            <w:tcW w:w="1054" w:type="pct"/>
            <w:vAlign w:val="center"/>
          </w:tcPr>
          <w:p w14:paraId="6C0EDA5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65" w:type="pct"/>
            <w:vMerge w:val="continue"/>
          </w:tcPr>
          <w:p w14:paraId="10DBD15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B6D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88" w:type="pct"/>
            <w:vMerge w:val="restart"/>
            <w:vAlign w:val="center"/>
          </w:tcPr>
          <w:p w14:paraId="74A1BE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069" w:type="pct"/>
            <w:vMerge w:val="restart"/>
            <w:tcBorders>
              <w:right w:val="single" w:color="000000" w:sz="4" w:space="0"/>
            </w:tcBorders>
            <w:vAlign w:val="center"/>
          </w:tcPr>
          <w:p w14:paraId="7C1CAB0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724" w:type="pct"/>
            <w:tcBorders>
              <w:left w:val="single" w:color="000000" w:sz="4" w:space="0"/>
            </w:tcBorders>
            <w:vAlign w:val="center"/>
          </w:tcPr>
          <w:p w14:paraId="227C8C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1.0</w:t>
            </w:r>
          </w:p>
        </w:tc>
        <w:tc>
          <w:tcPr>
            <w:tcW w:w="1054" w:type="pct"/>
            <w:vAlign w:val="center"/>
          </w:tcPr>
          <w:p w14:paraId="72DAA7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5809943"/>
            <w:placeholder>
              <w:docPart w:val="13695D028A19483F88299714E87757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65" w:type="pct"/>
                <w:vMerge w:val="restart"/>
              </w:tcPr>
              <w:p w14:paraId="496539F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221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88" w:type="pct"/>
            <w:vMerge w:val="continue"/>
            <w:vAlign w:val="center"/>
          </w:tcPr>
          <w:p w14:paraId="0D3EDD1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pct"/>
            <w:vMerge w:val="continue"/>
            <w:tcBorders>
              <w:right w:val="single" w:color="000000" w:sz="4" w:space="0"/>
            </w:tcBorders>
            <w:vAlign w:val="center"/>
          </w:tcPr>
          <w:p w14:paraId="3FB46398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24" w:type="pct"/>
            <w:tcBorders>
              <w:left w:val="single" w:color="000000" w:sz="4" w:space="0"/>
            </w:tcBorders>
            <w:vAlign w:val="center"/>
          </w:tcPr>
          <w:p w14:paraId="2B301AC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2.0</w:t>
            </w:r>
          </w:p>
        </w:tc>
        <w:tc>
          <w:tcPr>
            <w:tcW w:w="1054" w:type="pct"/>
            <w:vAlign w:val="center"/>
          </w:tcPr>
          <w:p w14:paraId="065D867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65" w:type="pct"/>
            <w:vMerge w:val="continue"/>
          </w:tcPr>
          <w:p w14:paraId="4CFBC78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CB7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88" w:type="pct"/>
            <w:vMerge w:val="continue"/>
            <w:vAlign w:val="center"/>
          </w:tcPr>
          <w:p w14:paraId="0794F3D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pct"/>
            <w:vMerge w:val="continue"/>
            <w:tcBorders>
              <w:right w:val="single" w:color="000000" w:sz="4" w:space="0"/>
            </w:tcBorders>
            <w:vAlign w:val="center"/>
          </w:tcPr>
          <w:p w14:paraId="785B551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24" w:type="pct"/>
            <w:tcBorders>
              <w:left w:val="single" w:color="000000" w:sz="4" w:space="0"/>
            </w:tcBorders>
            <w:vAlign w:val="center"/>
          </w:tcPr>
          <w:p w14:paraId="1BBEB8C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3.0</w:t>
            </w:r>
          </w:p>
        </w:tc>
        <w:tc>
          <w:tcPr>
            <w:tcW w:w="1054" w:type="pct"/>
            <w:vAlign w:val="center"/>
          </w:tcPr>
          <w:p w14:paraId="62DD742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65" w:type="pct"/>
            <w:vMerge w:val="continue"/>
          </w:tcPr>
          <w:p w14:paraId="64BEF4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229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1" w:type="pct"/>
            <w:gridSpan w:val="3"/>
            <w:vAlign w:val="center"/>
          </w:tcPr>
          <w:p w14:paraId="4CFA67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054" w:type="pct"/>
            <w:vAlign w:val="center"/>
          </w:tcPr>
          <w:p w14:paraId="3D6FC3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765" w:type="pct"/>
            <w:vAlign w:val="center"/>
          </w:tcPr>
          <w:p w14:paraId="03B6AD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sdt>
              <w:sdtPr>
                <w:rPr>
                  <w:rFonts w:ascii="Times New Roman" w:hAnsi="Times New Roman" w:eastAsia="宋体" w:cs="Times New Roman"/>
                  <w:kern w:val="0"/>
                  <w:szCs w:val="21"/>
                </w:rPr>
                <w:id w:val="251483598"/>
                <w:placeholder>
                  <w:docPart w:val="63538B8A7DA341A7844CDB0719A21911"/>
                </w:placeholder>
                <w:text/>
              </w:sdtPr>
              <w:sdtEndPr>
                <w:rPr>
                  <w:rFonts w:ascii="Times New Roman" w:hAnsi="Times New Roman" w:eastAsia="宋体" w:cs="Times New Roman"/>
                  <w:kern w:val="0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sdtContent>
            </w:sdt>
          </w:p>
        </w:tc>
      </w:tr>
    </w:tbl>
    <w:p w14:paraId="60B750C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3A35DD3"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</w:t>
      </w:r>
      <w:r>
        <w:rPr>
          <w:szCs w:val="21"/>
          <w:lang w:val="zh-CN"/>
        </w:rPr>
        <w:t>叶面积指数：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  <w:r>
            <w:rPr>
              <w:rFonts w:hint="eastAsia"/>
              <w:szCs w:val="21"/>
              <w:u w:val="single"/>
              <w:lang w:val="en-US" w:eastAsia="zh-CN"/>
            </w:rPr>
            <w:t>3.0</w:t>
          </w:r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  <w:lang w:val="zh-CN"/>
        </w:rPr>
        <w:t>场地乔木投影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  <w:r>
            <w:rPr>
              <w:rFonts w:hint="eastAsia"/>
              <w:szCs w:val="21"/>
              <w:u w:val="single"/>
              <w:lang w:val="en-US" w:eastAsia="zh-CN"/>
            </w:rPr>
            <w:t>18000</w:t>
          </w:r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</w:sdtContent>
      </w:sdt>
      <w:r>
        <w:rPr>
          <w:szCs w:val="21"/>
          <w:u w:val="single"/>
          <w:lang w:val="zh-CN"/>
        </w:rPr>
        <w:t xml:space="preserve">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5D535EF0"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场地乔木株数</w:t>
      </w:r>
      <w:r>
        <w:rPr>
          <w:szCs w:val="21"/>
          <w:lang w:val="zh-CN"/>
        </w:rPr>
        <w:t>：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  <w:r>
            <w:rPr>
              <w:rFonts w:hint="eastAsia"/>
              <w:szCs w:val="21"/>
              <w:u w:val="single"/>
              <w:lang w:val="en-US" w:eastAsia="zh-CN"/>
            </w:rPr>
            <w:t>86</w:t>
          </w:r>
          <w:r>
            <w:rPr>
              <w:rFonts w:hint="eastAsia"/>
              <w:szCs w:val="21"/>
              <w:u w:val="single"/>
              <w:lang w:val="zh-CN"/>
            </w:rPr>
            <w:t xml:space="preserve">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vertAlign w:val="superscript"/>
          <w:lang w:val="zh-CN"/>
        </w:rPr>
        <w:t xml:space="preserve">             </w:t>
      </w:r>
      <w:r>
        <w:rPr>
          <w:rFonts w:hint="eastAsia"/>
          <w:szCs w:val="21"/>
          <w:lang w:val="zh-CN"/>
        </w:rPr>
        <w:t>场地灌木占地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  <w:r>
            <w:rPr>
              <w:rFonts w:hint="eastAsia"/>
              <w:szCs w:val="21"/>
              <w:u w:val="single"/>
              <w:lang w:val="en-US" w:eastAsia="zh-CN"/>
            </w:rPr>
            <w:t>8730.2</w:t>
          </w:r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626DFD9E"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草地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  <w:r>
            <w:rPr>
              <w:rFonts w:hint="eastAsia"/>
              <w:szCs w:val="21"/>
              <w:u w:val="single"/>
              <w:lang w:val="en-US" w:eastAsia="zh-CN"/>
            </w:rPr>
            <w:t>12000</w:t>
          </w:r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 xml:space="preserve">2                    </w:t>
      </w:r>
      <w:r>
        <w:rPr>
          <w:rFonts w:hint="eastAsia"/>
          <w:szCs w:val="21"/>
          <w:lang w:val="zh-CN"/>
        </w:rPr>
        <w:t>场地面积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23030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30A78DD6">
      <w:pPr>
        <w:spacing w:line="288" w:lineRule="auto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场地</w:t>
      </w:r>
      <w:r>
        <w:rPr>
          <w:rFonts w:ascii="宋体" w:hAnsi="宋体" w:cs="宋体"/>
          <w:kern w:val="0"/>
          <w:szCs w:val="21"/>
        </w:rPr>
        <w:t>绿容率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  <w:r>
            <w:rPr>
              <w:rFonts w:hint="eastAsia"/>
              <w:szCs w:val="21"/>
              <w:u w:val="single"/>
              <w:lang w:val="en-US" w:eastAsia="zh-CN"/>
            </w:rPr>
            <w:t>3.2</w:t>
          </w:r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 xml:space="preserve"> </w:t>
      </w:r>
    </w:p>
    <w:p w14:paraId="26F912C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C51189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E28D4E3">
      <w:pPr>
        <w:spacing w:line="288" w:lineRule="auto"/>
      </w:pPr>
      <w:r>
        <w:rPr>
          <w:rFonts w:hint="eastAsia"/>
        </w:rPr>
        <w:t>1）</w:t>
      </w:r>
      <w:r>
        <w:t>绿化种植平面图、苗木表等景观设计文件，绿容率计算书</w:t>
      </w:r>
      <w:r>
        <w:rPr>
          <w:rFonts w:hint="eastAsia"/>
        </w:rPr>
        <w:t>；</w:t>
      </w:r>
    </w:p>
    <w:p w14:paraId="4F7BCA40">
      <w:pPr>
        <w:spacing w:line="288" w:lineRule="auto"/>
      </w:pPr>
      <w:r>
        <w:rPr>
          <w:rFonts w:hint="eastAsia"/>
        </w:rPr>
        <w:t>2）</w:t>
      </w:r>
      <w:r>
        <w:t>绿容率计算书或植被叶面积测量报告，当 地叶面积调研数据(如有)</w:t>
      </w:r>
      <w:r>
        <w:rPr>
          <w:rFonts w:hint="eastAsia"/>
        </w:rPr>
        <w:t>等</w:t>
      </w:r>
      <w:r>
        <w:t>。</w:t>
      </w:r>
    </w:p>
    <w:p w14:paraId="5B0AE585">
      <w:pPr>
        <w:spacing w:line="288" w:lineRule="auto"/>
      </w:pPr>
    </w:p>
    <w:p w14:paraId="4C140B3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97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7FF0609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景观专业图纸及设计说明</w:t>
            </w:r>
          </w:p>
          <w:p w14:paraId="43B70851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绿容率计算书或植被叶面积测量报告</w:t>
            </w:r>
          </w:p>
          <w:p w14:paraId="7284E1FB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当地叶面积调研数据相关证明材料</w:t>
            </w:r>
            <w:bookmarkStart w:id="0" w:name="_GoBack"/>
            <w:bookmarkEnd w:id="0"/>
          </w:p>
        </w:tc>
      </w:tr>
    </w:tbl>
    <w:p w14:paraId="4407D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1BBB37"/>
    <w:multiLevelType w:val="singleLevel"/>
    <w:tmpl w:val="181BBB3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D"/>
    <w:rsid w:val="00074A38"/>
    <w:rsid w:val="002100A4"/>
    <w:rsid w:val="003F3E0E"/>
    <w:rsid w:val="0059283F"/>
    <w:rsid w:val="005E051F"/>
    <w:rsid w:val="00606BD0"/>
    <w:rsid w:val="008740F6"/>
    <w:rsid w:val="0088612B"/>
    <w:rsid w:val="0089401D"/>
    <w:rsid w:val="008D319A"/>
    <w:rsid w:val="00950E19"/>
    <w:rsid w:val="00B329FB"/>
    <w:rsid w:val="00B7354D"/>
    <w:rsid w:val="00B87999"/>
    <w:rsid w:val="00D84381"/>
    <w:rsid w:val="00DC6C1D"/>
    <w:rsid w:val="00DF7069"/>
    <w:rsid w:val="00E829BF"/>
    <w:rsid w:val="00E93DCE"/>
    <w:rsid w:val="1E3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E4890F84D81425D986C70A739387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9C7D0-DB12-4D25-85FA-3A95F6377517}"/>
      </w:docPartPr>
      <w:docPartBody>
        <w:p w14:paraId="13884206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59013-EF68-4845-B01A-8D901B54A122}"/>
      </w:docPartPr>
      <w:docPartBody>
        <w:p w14:paraId="75DDDAB6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96CC4-DA23-426D-A972-8298F39F7CC7}"/>
      </w:docPartPr>
      <w:docPartBody>
        <w:p w14:paraId="602E3FEC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3EB8B1-978D-409C-B604-3A558FB3CF6C}"/>
      </w:docPartPr>
      <w:docPartBody>
        <w:p w14:paraId="735E3186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1D8D9-A932-4E05-A688-9C31C53BA90F}"/>
      </w:docPartPr>
      <w:docPartBody>
        <w:p w14:paraId="6DEF629E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 w14:paraId="4E8E123F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101F5F60804F16A616DDC15D842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31DA0-5444-42E6-AED1-F38EFC817FE4}"/>
      </w:docPartPr>
      <w:docPartBody>
        <w:p w14:paraId="29451A22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538B8A7DA341A7844CDB0719A219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707B82-A493-40D9-B2BF-F0538CB69A51}"/>
      </w:docPartPr>
      <w:docPartBody>
        <w:p w14:paraId="767F53D0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695D028A19483F88299714E8775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AA21EC-4C22-4227-B9DA-E9E1A8B97CF8}"/>
      </w:docPartPr>
      <w:docPartBody>
        <w:p w14:paraId="7A9EB203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372A44"/>
    <w:rsid w:val="003F3E0E"/>
    <w:rsid w:val="00504647"/>
    <w:rsid w:val="005C6BDD"/>
    <w:rsid w:val="00895460"/>
    <w:rsid w:val="00B64F20"/>
    <w:rsid w:val="00B87999"/>
    <w:rsid w:val="00C04B3B"/>
    <w:rsid w:val="00FE6126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E4890F84D81425D986C70A7393877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C1A7B4C3389490BB16EB374BC77FC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8CA61693294AA683B4DA4BA163CF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7EFF9AE72A149799602C48ABF1EFC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65688B72B1E042889E3BD518FF8A5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145842A5D5E4AB6A4B27AF8146CFA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101F5F60804F16A616DDC15D84200F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">
    <w:name w:val="63538B8A7DA341A7844CDB0719A2191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13695D028A19483F88299714E877571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240</Characters>
  <Lines>3</Lines>
  <Paragraphs>1</Paragraphs>
  <TotalTime>1136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Santa Claus</cp:lastModifiedBy>
  <dcterms:modified xsi:type="dcterms:W3CDTF">2026-03-24T03:49:59Z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5D2CE65BE848421584B8C72EC5516307_12</vt:lpwstr>
  </property>
</Properties>
</file>