
<file path=[Content_Types].xml><?xml version="1.0" encoding="utf-8"?>
<Types xmlns="http://schemas.openxmlformats.org/package/2006/content-types">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E773A5">
      <w:pPr>
        <w:pStyle w:val="30"/>
      </w:pPr>
    </w:p>
    <w:p w14:paraId="152D3290">
      <w:pPr>
        <w:pStyle w:val="30"/>
        <w:jc w:val="distribute"/>
        <w:rPr>
          <w:b/>
          <w:sz w:val="72"/>
          <w:szCs w:val="72"/>
        </w:rPr>
      </w:pPr>
      <w:r>
        <w:rPr>
          <w:rFonts w:hint="eastAsia"/>
          <w:b/>
          <w:sz w:val="72"/>
          <w:szCs w:val="72"/>
        </w:rPr>
        <w:t>居住建筑通风开口面积</w:t>
      </w:r>
    </w:p>
    <w:p w14:paraId="5AA6AE60">
      <w:pPr>
        <w:pStyle w:val="30"/>
        <w:jc w:val="center"/>
        <w:rPr>
          <w:b/>
          <w:sz w:val="72"/>
          <w:szCs w:val="72"/>
        </w:rPr>
      </w:pPr>
      <w:r>
        <w:rPr>
          <w:rFonts w:hint="eastAsia"/>
          <w:b/>
          <w:sz w:val="72"/>
          <w:szCs w:val="72"/>
        </w:rPr>
        <w:t>计算书</w:t>
      </w:r>
    </w:p>
    <w:p w14:paraId="7E695EB1">
      <w:pPr>
        <w:pStyle w:val="34"/>
        <w:spacing w:line="400" w:lineRule="exact"/>
      </w:pPr>
    </w:p>
    <w:p w14:paraId="400FEC16">
      <w:pPr>
        <w:pStyle w:val="34"/>
        <w:rPr>
          <w:b/>
        </w:rPr>
      </w:pPr>
      <w:bookmarkStart w:id="0" w:name="项目名称"/>
      <w:bookmarkEnd w:id="0"/>
      <w:bookmarkStart w:id="1" w:name="工程名称"/>
      <w:bookmarkEnd w:id="1"/>
    </w:p>
    <w:p w14:paraId="7D6FFA2E">
      <w:pPr>
        <w:pStyle w:val="34"/>
        <w:rPr>
          <w:b/>
        </w:rPr>
      </w:pPr>
      <w:r>
        <w:rPr>
          <w:rFonts w:hint="eastAsia"/>
          <w:b/>
        </w:rPr>
        <w:t>设计编号：</w:t>
      </w:r>
      <w:bookmarkStart w:id="2" w:name="设计编号"/>
      <w:bookmarkEnd w:id="2"/>
    </w:p>
    <w:p w14:paraId="586CA0C3">
      <w:pPr>
        <w:pStyle w:val="34"/>
        <w:rPr>
          <w:b/>
        </w:rPr>
      </w:pPr>
    </w:p>
    <w:p w14:paraId="6D439302">
      <w:pPr>
        <w:pStyle w:val="30"/>
        <w:jc w:val="center"/>
      </w:pPr>
      <w:bookmarkStart w:id="3" w:name="二维码"/>
      <w:bookmarkEnd w:id="3"/>
      <w:r>
        <w:drawing>
          <wp:inline distT="0" distB="0" distL="0" distR="0">
            <wp:extent cx="1009650" cy="10096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6"/>
                    <a:stretch>
                      <a:fillRect/>
                    </a:stretch>
                  </pic:blipFill>
                  <pic:spPr>
                    <a:xfrm>
                      <a:off x="0" y="0"/>
                      <a:ext cx="1009756" cy="1009756"/>
                    </a:xfrm>
                    <a:prstGeom prst="rect">
                      <a:avLst/>
                    </a:prstGeom>
                  </pic:spPr>
                </pic:pic>
              </a:graphicData>
            </a:graphic>
          </wp:inline>
        </w:drawing>
      </w:r>
    </w:p>
    <w:p w14:paraId="40624376">
      <w:pPr>
        <w:pStyle w:val="30"/>
        <w:jc w:val="center"/>
      </w:pPr>
    </w:p>
    <w:tbl>
      <w:tblPr>
        <w:tblStyle w:val="20"/>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70326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4E9C6E3">
            <w:pPr>
              <w:pStyle w:val="30"/>
              <w:spacing w:line="240" w:lineRule="auto"/>
              <w:jc w:val="distribute"/>
            </w:pPr>
            <w:r>
              <w:rPr>
                <w:rFonts w:hint="eastAsia"/>
              </w:rPr>
              <w:t>工程地点</w:t>
            </w:r>
          </w:p>
        </w:tc>
        <w:tc>
          <w:tcPr>
            <w:tcW w:w="475" w:type="dxa"/>
            <w:vAlign w:val="center"/>
          </w:tcPr>
          <w:p w14:paraId="22369B38">
            <w:pPr>
              <w:pStyle w:val="30"/>
              <w:spacing w:line="240" w:lineRule="auto"/>
              <w:ind w:right="-31" w:rightChars="-15"/>
              <w:jc w:val="center"/>
            </w:pPr>
            <w:r>
              <w:rPr>
                <w:rFonts w:hint="eastAsia"/>
              </w:rPr>
              <w:t>：</w:t>
            </w:r>
          </w:p>
        </w:tc>
        <w:tc>
          <w:tcPr>
            <w:tcW w:w="4624" w:type="dxa"/>
            <w:tcBorders>
              <w:bottom w:val="single" w:color="auto" w:sz="4" w:space="0"/>
            </w:tcBorders>
            <w:vAlign w:val="center"/>
          </w:tcPr>
          <w:p w14:paraId="00E485CF">
            <w:pPr>
              <w:pStyle w:val="30"/>
              <w:spacing w:line="240" w:lineRule="auto"/>
              <w:jc w:val="center"/>
            </w:pPr>
            <w:bookmarkStart w:id="4" w:name="工程地点"/>
            <w:r>
              <w:t>乌鲁木齐</w:t>
            </w:r>
            <w:bookmarkEnd w:id="4"/>
            <w:bookmarkStart w:id="5" w:name="项目地点"/>
            <w:bookmarkEnd w:id="5"/>
          </w:p>
        </w:tc>
      </w:tr>
      <w:tr w14:paraId="3CDC1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3A12F60">
            <w:pPr>
              <w:pStyle w:val="30"/>
              <w:spacing w:line="240" w:lineRule="auto"/>
              <w:jc w:val="distribute"/>
            </w:pPr>
            <w:r>
              <w:rPr>
                <w:rFonts w:hint="eastAsia"/>
              </w:rPr>
              <w:t>建设单位</w:t>
            </w:r>
          </w:p>
        </w:tc>
        <w:tc>
          <w:tcPr>
            <w:tcW w:w="475" w:type="dxa"/>
            <w:vAlign w:val="center"/>
          </w:tcPr>
          <w:p w14:paraId="68111BE5">
            <w:pPr>
              <w:pStyle w:val="30"/>
              <w:spacing w:line="240" w:lineRule="auto"/>
              <w:jc w:val="center"/>
            </w:pPr>
            <w:r>
              <w:rPr>
                <w:rFonts w:hint="eastAsia"/>
              </w:rPr>
              <w:t>：</w:t>
            </w:r>
          </w:p>
        </w:tc>
        <w:tc>
          <w:tcPr>
            <w:tcW w:w="4624" w:type="dxa"/>
            <w:tcBorders>
              <w:top w:val="single" w:color="auto" w:sz="4" w:space="0"/>
              <w:bottom w:val="single" w:color="auto" w:sz="4" w:space="0"/>
            </w:tcBorders>
            <w:vAlign w:val="center"/>
          </w:tcPr>
          <w:p w14:paraId="12B7A4E7">
            <w:pPr>
              <w:pStyle w:val="30"/>
              <w:spacing w:line="240" w:lineRule="auto"/>
              <w:jc w:val="center"/>
            </w:pPr>
            <w:bookmarkStart w:id="6" w:name="建设单位"/>
            <w:bookmarkEnd w:id="6"/>
          </w:p>
        </w:tc>
      </w:tr>
      <w:tr w14:paraId="41F1C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C714393">
            <w:pPr>
              <w:pStyle w:val="30"/>
              <w:spacing w:line="240" w:lineRule="auto"/>
              <w:jc w:val="distribute"/>
            </w:pPr>
            <w:r>
              <w:rPr>
                <w:rFonts w:hint="eastAsia"/>
              </w:rPr>
              <w:t>设计单位</w:t>
            </w:r>
          </w:p>
        </w:tc>
        <w:tc>
          <w:tcPr>
            <w:tcW w:w="475" w:type="dxa"/>
            <w:vAlign w:val="center"/>
          </w:tcPr>
          <w:p w14:paraId="43B9B533">
            <w:pPr>
              <w:pStyle w:val="30"/>
              <w:spacing w:line="240" w:lineRule="auto"/>
              <w:jc w:val="center"/>
            </w:pPr>
            <w:r>
              <w:rPr>
                <w:rFonts w:hint="eastAsia"/>
              </w:rPr>
              <w:t>：</w:t>
            </w:r>
          </w:p>
        </w:tc>
        <w:tc>
          <w:tcPr>
            <w:tcW w:w="4624" w:type="dxa"/>
            <w:tcBorders>
              <w:top w:val="single" w:color="auto" w:sz="4" w:space="0"/>
              <w:bottom w:val="single" w:color="auto" w:sz="4" w:space="0"/>
            </w:tcBorders>
            <w:vAlign w:val="center"/>
          </w:tcPr>
          <w:p w14:paraId="3EFC73CF">
            <w:pPr>
              <w:pStyle w:val="30"/>
              <w:spacing w:line="240" w:lineRule="auto"/>
              <w:jc w:val="center"/>
            </w:pPr>
            <w:bookmarkStart w:id="7" w:name="设计单位"/>
            <w:bookmarkEnd w:id="7"/>
          </w:p>
        </w:tc>
      </w:tr>
      <w:tr w14:paraId="1E3B7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B090679">
            <w:pPr>
              <w:pStyle w:val="30"/>
              <w:spacing w:line="240" w:lineRule="auto"/>
              <w:jc w:val="distribute"/>
            </w:pPr>
            <w:r>
              <w:rPr>
                <w:rFonts w:hint="eastAsia"/>
              </w:rPr>
              <w:t>设计人</w:t>
            </w:r>
          </w:p>
        </w:tc>
        <w:tc>
          <w:tcPr>
            <w:tcW w:w="475" w:type="dxa"/>
            <w:vAlign w:val="center"/>
          </w:tcPr>
          <w:p w14:paraId="0C2A651C">
            <w:pPr>
              <w:pStyle w:val="30"/>
              <w:spacing w:line="240" w:lineRule="auto"/>
              <w:jc w:val="center"/>
            </w:pPr>
            <w:r>
              <w:rPr>
                <w:rFonts w:hint="eastAsia"/>
              </w:rPr>
              <w:t>：</w:t>
            </w:r>
          </w:p>
        </w:tc>
        <w:tc>
          <w:tcPr>
            <w:tcW w:w="4624" w:type="dxa"/>
            <w:tcBorders>
              <w:top w:val="single" w:color="auto" w:sz="4" w:space="0"/>
              <w:bottom w:val="single" w:color="auto" w:sz="4" w:space="0"/>
            </w:tcBorders>
            <w:vAlign w:val="center"/>
          </w:tcPr>
          <w:p w14:paraId="6079EDCD">
            <w:pPr>
              <w:pStyle w:val="30"/>
              <w:spacing w:line="240" w:lineRule="auto"/>
              <w:jc w:val="center"/>
            </w:pPr>
          </w:p>
        </w:tc>
      </w:tr>
      <w:tr w14:paraId="3D6EC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C087508">
            <w:pPr>
              <w:pStyle w:val="30"/>
              <w:spacing w:line="240" w:lineRule="auto"/>
              <w:jc w:val="distribute"/>
            </w:pPr>
            <w:r>
              <w:rPr>
                <w:rFonts w:hint="eastAsia"/>
              </w:rPr>
              <w:t>校对人</w:t>
            </w:r>
          </w:p>
        </w:tc>
        <w:tc>
          <w:tcPr>
            <w:tcW w:w="475" w:type="dxa"/>
            <w:vAlign w:val="center"/>
          </w:tcPr>
          <w:p w14:paraId="4AB6B81B">
            <w:pPr>
              <w:pStyle w:val="30"/>
              <w:spacing w:line="240" w:lineRule="auto"/>
              <w:jc w:val="center"/>
            </w:pPr>
            <w:r>
              <w:rPr>
                <w:rFonts w:hint="eastAsia"/>
              </w:rPr>
              <w:t>：</w:t>
            </w:r>
          </w:p>
        </w:tc>
        <w:tc>
          <w:tcPr>
            <w:tcW w:w="4624" w:type="dxa"/>
            <w:tcBorders>
              <w:top w:val="single" w:color="auto" w:sz="4" w:space="0"/>
              <w:bottom w:val="single" w:color="auto" w:sz="4" w:space="0"/>
            </w:tcBorders>
            <w:vAlign w:val="center"/>
          </w:tcPr>
          <w:p w14:paraId="39050997">
            <w:pPr>
              <w:pStyle w:val="30"/>
              <w:spacing w:line="240" w:lineRule="auto"/>
              <w:jc w:val="center"/>
            </w:pPr>
          </w:p>
        </w:tc>
      </w:tr>
      <w:tr w14:paraId="31442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7393135">
            <w:pPr>
              <w:pStyle w:val="30"/>
              <w:spacing w:line="240" w:lineRule="auto"/>
              <w:jc w:val="distribute"/>
            </w:pPr>
            <w:r>
              <w:rPr>
                <w:rFonts w:hint="eastAsia"/>
              </w:rPr>
              <w:t>审定人</w:t>
            </w:r>
          </w:p>
        </w:tc>
        <w:tc>
          <w:tcPr>
            <w:tcW w:w="475" w:type="dxa"/>
            <w:vAlign w:val="center"/>
          </w:tcPr>
          <w:p w14:paraId="23B22427">
            <w:pPr>
              <w:pStyle w:val="30"/>
              <w:spacing w:line="240" w:lineRule="auto"/>
              <w:jc w:val="center"/>
            </w:pPr>
            <w:r>
              <w:rPr>
                <w:rFonts w:hint="eastAsia"/>
              </w:rPr>
              <w:t>：</w:t>
            </w:r>
          </w:p>
        </w:tc>
        <w:tc>
          <w:tcPr>
            <w:tcW w:w="4624" w:type="dxa"/>
            <w:tcBorders>
              <w:top w:val="single" w:color="auto" w:sz="4" w:space="0"/>
              <w:bottom w:val="single" w:color="auto" w:sz="4" w:space="0"/>
            </w:tcBorders>
            <w:vAlign w:val="center"/>
          </w:tcPr>
          <w:p w14:paraId="5FBF301D">
            <w:pPr>
              <w:pStyle w:val="30"/>
              <w:spacing w:line="240" w:lineRule="auto"/>
              <w:jc w:val="center"/>
            </w:pPr>
          </w:p>
        </w:tc>
      </w:tr>
      <w:tr w14:paraId="6A814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F4F98E2">
            <w:pPr>
              <w:pStyle w:val="30"/>
              <w:spacing w:line="240" w:lineRule="auto"/>
              <w:jc w:val="distribute"/>
            </w:pPr>
            <w:r>
              <w:rPr>
                <w:rFonts w:hint="eastAsia"/>
              </w:rPr>
              <w:t>报告日期</w:t>
            </w:r>
          </w:p>
        </w:tc>
        <w:tc>
          <w:tcPr>
            <w:tcW w:w="475" w:type="dxa"/>
            <w:vAlign w:val="center"/>
          </w:tcPr>
          <w:p w14:paraId="21081E61">
            <w:pPr>
              <w:pStyle w:val="30"/>
              <w:spacing w:line="240" w:lineRule="auto"/>
              <w:jc w:val="center"/>
            </w:pPr>
            <w:r>
              <w:rPr>
                <w:rFonts w:hint="eastAsia"/>
              </w:rPr>
              <w:t>：</w:t>
            </w:r>
          </w:p>
        </w:tc>
        <w:tc>
          <w:tcPr>
            <w:tcW w:w="4624" w:type="dxa"/>
            <w:tcBorders>
              <w:top w:val="single" w:color="auto" w:sz="4" w:space="0"/>
              <w:bottom w:val="single" w:color="auto" w:sz="4" w:space="0"/>
            </w:tcBorders>
            <w:vAlign w:val="center"/>
          </w:tcPr>
          <w:p w14:paraId="1FA54D8D">
            <w:pPr>
              <w:pStyle w:val="30"/>
              <w:spacing w:line="240" w:lineRule="auto"/>
              <w:jc w:val="center"/>
            </w:pPr>
            <w:bookmarkStart w:id="8" w:name="报告日期"/>
            <w:bookmarkEnd w:id="8"/>
          </w:p>
        </w:tc>
      </w:tr>
    </w:tbl>
    <w:p w14:paraId="6732229C"/>
    <w:p w14:paraId="7D55F3C0">
      <w:pPr>
        <w:pStyle w:val="32"/>
      </w:pPr>
    </w:p>
    <w:tbl>
      <w:tblPr>
        <w:tblStyle w:val="20"/>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355F38A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3D1ED20A">
            <w:pPr>
              <w:pStyle w:val="32"/>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64911BE5">
            <w:pPr>
              <w:pStyle w:val="32"/>
              <w:rPr>
                <w:szCs w:val="18"/>
              </w:rPr>
            </w:pPr>
            <w:r>
              <w:rPr>
                <w:rFonts w:hint="eastAsia"/>
                <w:szCs w:val="18"/>
              </w:rPr>
              <w:t xml:space="preserve">: </w:t>
            </w:r>
            <w:bookmarkStart w:id="9" w:name="采用软件"/>
            <w:r>
              <w:rPr>
                <w:rFonts w:hint="eastAsia"/>
                <w:szCs w:val="18"/>
              </w:rPr>
              <w:t>建筑通风Vent2025</w:t>
            </w:r>
            <w:bookmarkEnd w:id="9"/>
          </w:p>
        </w:tc>
        <w:tc>
          <w:tcPr>
            <w:tcW w:w="3958" w:type="dxa"/>
            <w:vMerge w:val="restart"/>
            <w:tcBorders>
              <w:top w:val="single" w:color="auto" w:sz="2" w:space="0"/>
              <w:left w:val="nil"/>
              <w:bottom w:val="nil"/>
              <w:right w:val="nil"/>
            </w:tcBorders>
            <w:vAlign w:val="bottom"/>
          </w:tcPr>
          <w:p w14:paraId="18CA3F09">
            <w:pPr>
              <w:pStyle w:val="32"/>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01D92A4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BFA9E08">
            <w:pPr>
              <w:pStyle w:val="32"/>
              <w:jc w:val="distribute"/>
              <w:rPr>
                <w:szCs w:val="18"/>
              </w:rPr>
            </w:pPr>
            <w:r>
              <w:rPr>
                <w:rFonts w:hint="eastAsia"/>
                <w:szCs w:val="18"/>
              </w:rPr>
              <w:t>软件版本</w:t>
            </w:r>
          </w:p>
        </w:tc>
        <w:tc>
          <w:tcPr>
            <w:tcW w:w="3143" w:type="dxa"/>
            <w:tcBorders>
              <w:top w:val="nil"/>
              <w:left w:val="nil"/>
              <w:bottom w:val="nil"/>
              <w:right w:val="nil"/>
            </w:tcBorders>
            <w:vAlign w:val="bottom"/>
          </w:tcPr>
          <w:p w14:paraId="4FC05D4B">
            <w:pPr>
              <w:pStyle w:val="32"/>
            </w:pPr>
            <w:r>
              <w:rPr>
                <w:rFonts w:hint="eastAsia"/>
              </w:rPr>
              <w:t xml:space="preserve">: </w:t>
            </w:r>
            <w:bookmarkStart w:id="10" w:name="软件版本"/>
            <w:r>
              <w:rPr>
                <w:rFonts w:hint="eastAsia"/>
              </w:rPr>
              <w:t>20240101(SP1)</w:t>
            </w:r>
            <w:bookmarkEnd w:id="10"/>
          </w:p>
        </w:tc>
        <w:tc>
          <w:tcPr>
            <w:tcW w:w="3958" w:type="dxa"/>
            <w:vMerge w:val="continue"/>
            <w:tcBorders>
              <w:top w:val="single" w:color="auto" w:sz="2" w:space="0"/>
              <w:left w:val="nil"/>
              <w:bottom w:val="nil"/>
              <w:right w:val="nil"/>
            </w:tcBorders>
            <w:vAlign w:val="center"/>
          </w:tcPr>
          <w:p w14:paraId="2BDD95D4">
            <w:pPr>
              <w:spacing w:line="360" w:lineRule="exact"/>
              <w:ind w:firstLine="360"/>
              <w:rPr>
                <w:sz w:val="18"/>
                <w:szCs w:val="18"/>
              </w:rPr>
            </w:pPr>
          </w:p>
        </w:tc>
      </w:tr>
      <w:tr w14:paraId="5131EF3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6634196">
            <w:pPr>
              <w:pStyle w:val="32"/>
              <w:jc w:val="distribute"/>
              <w:rPr>
                <w:szCs w:val="18"/>
              </w:rPr>
            </w:pPr>
            <w:r>
              <w:rPr>
                <w:rFonts w:hint="eastAsia"/>
                <w:szCs w:val="18"/>
              </w:rPr>
              <w:t>正版授权码</w:t>
            </w:r>
          </w:p>
        </w:tc>
        <w:tc>
          <w:tcPr>
            <w:tcW w:w="3143" w:type="dxa"/>
            <w:tcBorders>
              <w:top w:val="nil"/>
              <w:left w:val="nil"/>
              <w:bottom w:val="nil"/>
              <w:right w:val="nil"/>
            </w:tcBorders>
            <w:vAlign w:val="bottom"/>
          </w:tcPr>
          <w:p w14:paraId="7E7C07BB">
            <w:pPr>
              <w:pStyle w:val="32"/>
              <w:rPr>
                <w:szCs w:val="18"/>
              </w:rPr>
            </w:pPr>
            <w:r>
              <w:rPr>
                <w:rFonts w:hint="eastAsia"/>
                <w:szCs w:val="18"/>
              </w:rPr>
              <w:t xml:space="preserve">: </w:t>
            </w:r>
            <w:bookmarkStart w:id="11" w:name="加密锁号"/>
            <w:r>
              <w:rPr>
                <w:rFonts w:hint="eastAsia"/>
                <w:szCs w:val="18"/>
              </w:rPr>
              <w:t>SP8001382C</w:t>
            </w:r>
            <w:bookmarkEnd w:id="11"/>
          </w:p>
        </w:tc>
        <w:tc>
          <w:tcPr>
            <w:tcW w:w="3958" w:type="dxa"/>
            <w:vMerge w:val="continue"/>
            <w:tcBorders>
              <w:top w:val="single" w:color="auto" w:sz="2" w:space="0"/>
              <w:left w:val="nil"/>
              <w:bottom w:val="nil"/>
              <w:right w:val="nil"/>
            </w:tcBorders>
            <w:vAlign w:val="center"/>
          </w:tcPr>
          <w:p w14:paraId="488B7B49">
            <w:pPr>
              <w:spacing w:line="360" w:lineRule="exact"/>
              <w:ind w:firstLine="360"/>
              <w:rPr>
                <w:sz w:val="18"/>
                <w:szCs w:val="18"/>
              </w:rPr>
            </w:pPr>
          </w:p>
        </w:tc>
      </w:tr>
      <w:tr w14:paraId="42C2C9E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C66B78C">
            <w:pPr>
              <w:pStyle w:val="32"/>
              <w:jc w:val="distribute"/>
              <w:rPr>
                <w:szCs w:val="18"/>
              </w:rPr>
            </w:pPr>
            <w:r>
              <w:rPr>
                <w:rFonts w:hint="eastAsia"/>
                <w:szCs w:val="18"/>
              </w:rPr>
              <w:t>研发单位</w:t>
            </w:r>
          </w:p>
        </w:tc>
        <w:tc>
          <w:tcPr>
            <w:tcW w:w="3143" w:type="dxa"/>
            <w:tcBorders>
              <w:top w:val="nil"/>
              <w:left w:val="nil"/>
              <w:bottom w:val="nil"/>
              <w:right w:val="nil"/>
            </w:tcBorders>
            <w:vAlign w:val="bottom"/>
          </w:tcPr>
          <w:p w14:paraId="244BF805">
            <w:pPr>
              <w:pStyle w:val="32"/>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2E7E9299">
            <w:pPr>
              <w:spacing w:line="360" w:lineRule="exact"/>
              <w:ind w:firstLine="360"/>
              <w:rPr>
                <w:sz w:val="18"/>
                <w:szCs w:val="18"/>
              </w:rPr>
            </w:pPr>
          </w:p>
        </w:tc>
      </w:tr>
    </w:tbl>
    <w:p w14:paraId="6D32D02A">
      <w:pPr>
        <w:pStyle w:val="17"/>
        <w:rPr>
          <w:lang w:val="en-GB"/>
        </w:rPr>
        <w:sectPr>
          <w:headerReference r:id="rId3" w:type="default"/>
          <w:footerReference r:id="rId4" w:type="default"/>
          <w:pgSz w:w="11906" w:h="16838"/>
          <w:pgMar w:top="1440" w:right="1800" w:bottom="426" w:left="1800" w:header="851" w:footer="992" w:gutter="0"/>
          <w:cols w:space="425" w:num="1"/>
          <w:titlePg/>
          <w:docGrid w:type="lines" w:linePitch="312" w:charSpace="0"/>
        </w:sectPr>
      </w:pPr>
    </w:p>
    <w:p w14:paraId="07399962">
      <w:pPr>
        <w:pStyle w:val="2"/>
        <w:rPr>
          <w:rFonts w:ascii="微软雅黑" w:hAnsi="微软雅黑" w:eastAsia="微软雅黑"/>
        </w:rPr>
      </w:pPr>
      <w:bookmarkStart w:id="12" w:name="_Toc420663548"/>
      <w:bookmarkStart w:id="13" w:name="_Toc420309360"/>
      <w:r>
        <w:rPr>
          <w:rFonts w:hint="eastAsia" w:ascii="微软雅黑" w:hAnsi="微软雅黑" w:eastAsia="微软雅黑"/>
        </w:rPr>
        <w:t>建筑概况</w:t>
      </w:r>
      <w:bookmarkEnd w:id="12"/>
      <w:bookmarkEnd w:id="13"/>
      <w:bookmarkStart w:id="32" w:name="_GoBack"/>
      <w:bookmarkEnd w:id="32"/>
    </w:p>
    <w:tbl>
      <w:tblPr>
        <w:tblStyle w:val="19"/>
        <w:tblW w:w="4885" w:type="pct"/>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4"/>
        <w:gridCol w:w="5712"/>
      </w:tblGrid>
      <w:tr w14:paraId="2B742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250FB402">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工程名称</w:t>
            </w:r>
          </w:p>
        </w:tc>
        <w:tc>
          <w:tcPr>
            <w:tcW w:w="6231" w:type="dxa"/>
          </w:tcPr>
          <w:p w14:paraId="39D41308">
            <w:pPr>
              <w:pStyle w:val="3"/>
              <w:ind w:firstLine="0" w:firstLineChars="0"/>
              <w:rPr>
                <w:rFonts w:ascii="微软雅黑" w:hAnsi="微软雅黑" w:eastAsia="微软雅黑"/>
                <w:sz w:val="18"/>
                <w:szCs w:val="18"/>
                <w:lang w:val="en-US"/>
              </w:rPr>
            </w:pPr>
            <w:bookmarkStart w:id="14" w:name="工程名称2"/>
            <w:bookmarkEnd w:id="14"/>
          </w:p>
        </w:tc>
      </w:tr>
      <w:tr w14:paraId="5590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38931D2A">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工程地点</w:t>
            </w:r>
          </w:p>
        </w:tc>
        <w:tc>
          <w:tcPr>
            <w:tcW w:w="6231" w:type="dxa"/>
          </w:tcPr>
          <w:p w14:paraId="39433264">
            <w:pPr>
              <w:pStyle w:val="3"/>
              <w:ind w:firstLine="0" w:firstLineChars="0"/>
              <w:rPr>
                <w:rFonts w:ascii="微软雅黑" w:hAnsi="微软雅黑" w:eastAsia="微软雅黑"/>
                <w:sz w:val="18"/>
                <w:szCs w:val="18"/>
                <w:lang w:val="en-US"/>
              </w:rPr>
            </w:pPr>
            <w:bookmarkStart w:id="15" w:name="工程地点2"/>
            <w:r>
              <w:rPr>
                <w:rFonts w:hint="eastAsia" w:ascii="微软雅黑" w:hAnsi="微软雅黑" w:eastAsia="微软雅黑"/>
                <w:sz w:val="18"/>
                <w:szCs w:val="18"/>
              </w:rPr>
              <w:t>乌鲁木齐</w:t>
            </w:r>
            <w:bookmarkEnd w:id="15"/>
          </w:p>
        </w:tc>
      </w:tr>
      <w:tr w14:paraId="3031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50E8DC02">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建筑热工设计分区</w:t>
            </w:r>
          </w:p>
        </w:tc>
        <w:tc>
          <w:tcPr>
            <w:tcW w:w="6231" w:type="dxa"/>
          </w:tcPr>
          <w:p w14:paraId="6E5B1E14">
            <w:pPr>
              <w:pStyle w:val="3"/>
              <w:ind w:firstLine="0" w:firstLineChars="0"/>
              <w:rPr>
                <w:rFonts w:ascii="微软雅黑" w:hAnsi="微软雅黑" w:eastAsia="微软雅黑"/>
                <w:sz w:val="18"/>
                <w:szCs w:val="18"/>
                <w:lang w:val="en-US"/>
              </w:rPr>
            </w:pPr>
            <w:bookmarkStart w:id="16" w:name="热工分区"/>
            <w:r>
              <w:rPr>
                <w:rFonts w:hint="eastAsia" w:ascii="微软雅黑" w:hAnsi="微软雅黑" w:eastAsia="微软雅黑"/>
                <w:sz w:val="18"/>
                <w:szCs w:val="18"/>
                <w:lang w:val="en-US"/>
              </w:rPr>
              <w:t>严寒</w:t>
            </w:r>
            <w:bookmarkEnd w:id="16"/>
          </w:p>
        </w:tc>
      </w:tr>
      <w:tr w14:paraId="7CDE5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29D2A65C">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建筑面积</w:t>
            </w:r>
          </w:p>
        </w:tc>
        <w:tc>
          <w:tcPr>
            <w:tcW w:w="6231" w:type="dxa"/>
          </w:tcPr>
          <w:p w14:paraId="3A634A96">
            <w:pPr>
              <w:pStyle w:val="3"/>
              <w:ind w:firstLine="0" w:firstLineChars="0"/>
              <w:rPr>
                <w:rFonts w:ascii="微软雅黑" w:hAnsi="微软雅黑" w:eastAsia="微软雅黑"/>
                <w:sz w:val="18"/>
                <w:szCs w:val="18"/>
                <w:vertAlign w:val="superscript"/>
                <w:lang w:val="en-US"/>
              </w:rPr>
            </w:pPr>
            <w:bookmarkStart w:id="17" w:name="建筑面积"/>
            <w:r>
              <w:rPr>
                <w:rFonts w:ascii="微软雅黑" w:hAnsi="微软雅黑" w:eastAsia="微软雅黑"/>
                <w:sz w:val="18"/>
                <w:szCs w:val="18"/>
                <w:lang w:val="en-US"/>
              </w:rPr>
              <w:t>1063</w:t>
            </w:r>
            <w:bookmarkEnd w:id="17"/>
            <w:r>
              <w:rPr>
                <w:rFonts w:hint="eastAsia" w:ascii="微软雅黑" w:hAnsi="微软雅黑" w:eastAsia="微软雅黑"/>
                <w:sz w:val="18"/>
                <w:szCs w:val="18"/>
                <w:lang w:val="en-US"/>
              </w:rPr>
              <w:t xml:space="preserve"> m</w:t>
            </w:r>
            <w:r>
              <w:rPr>
                <w:rFonts w:hint="eastAsia" w:ascii="微软雅黑" w:hAnsi="微软雅黑" w:eastAsia="微软雅黑"/>
                <w:sz w:val="18"/>
                <w:szCs w:val="18"/>
                <w:vertAlign w:val="superscript"/>
                <w:lang w:val="en-US"/>
              </w:rPr>
              <w:t>2</w:t>
            </w:r>
          </w:p>
        </w:tc>
      </w:tr>
      <w:tr w14:paraId="265E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689AA77F">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建筑层数</w:t>
            </w:r>
          </w:p>
        </w:tc>
        <w:tc>
          <w:tcPr>
            <w:tcW w:w="6231" w:type="dxa"/>
          </w:tcPr>
          <w:p w14:paraId="306DD18E">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地上</w:t>
            </w:r>
            <w:bookmarkStart w:id="18" w:name="地上层数"/>
            <w:r>
              <w:rPr>
                <w:rFonts w:hint="eastAsia" w:ascii="微软雅黑" w:hAnsi="微软雅黑" w:eastAsia="微软雅黑"/>
                <w:sz w:val="18"/>
                <w:szCs w:val="18"/>
                <w:lang w:val="en-US"/>
              </w:rPr>
              <w:t>2</w:t>
            </w:r>
            <w:bookmarkEnd w:id="18"/>
            <w:r>
              <w:rPr>
                <w:rFonts w:hint="eastAsia" w:ascii="微软雅黑" w:hAnsi="微软雅黑" w:eastAsia="微软雅黑"/>
                <w:sz w:val="18"/>
                <w:szCs w:val="18"/>
                <w:lang w:val="en-US"/>
              </w:rPr>
              <w:t>层</w:t>
            </w:r>
          </w:p>
        </w:tc>
      </w:tr>
      <w:tr w14:paraId="64337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469CB1FF">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建筑高度</w:t>
            </w:r>
          </w:p>
        </w:tc>
        <w:tc>
          <w:tcPr>
            <w:tcW w:w="6231" w:type="dxa"/>
          </w:tcPr>
          <w:p w14:paraId="5509A6A1">
            <w:pPr>
              <w:pStyle w:val="3"/>
              <w:ind w:firstLine="0" w:firstLineChars="0"/>
              <w:rPr>
                <w:rFonts w:ascii="微软雅黑" w:hAnsi="微软雅黑" w:eastAsia="微软雅黑"/>
                <w:sz w:val="18"/>
                <w:szCs w:val="18"/>
                <w:lang w:val="en-US"/>
              </w:rPr>
            </w:pPr>
            <w:bookmarkStart w:id="19" w:name="建筑高度"/>
            <w:r>
              <w:rPr>
                <w:rFonts w:hint="eastAsia" w:ascii="微软雅黑" w:hAnsi="微软雅黑" w:eastAsia="微软雅黑"/>
                <w:sz w:val="18"/>
                <w:szCs w:val="18"/>
                <w:lang w:val="en-US"/>
              </w:rPr>
              <w:t>8.4</w:t>
            </w:r>
            <w:bookmarkEnd w:id="19"/>
            <w:r>
              <w:rPr>
                <w:rFonts w:hint="eastAsia" w:ascii="微软雅黑" w:hAnsi="微软雅黑" w:eastAsia="微软雅黑"/>
                <w:sz w:val="18"/>
                <w:szCs w:val="18"/>
                <w:lang w:val="en-US"/>
              </w:rPr>
              <w:t>m</w:t>
            </w:r>
          </w:p>
        </w:tc>
      </w:tr>
    </w:tbl>
    <w:p w14:paraId="787A78D0">
      <w:pPr>
        <w:pStyle w:val="2"/>
        <w:rPr>
          <w:rFonts w:ascii="微软雅黑" w:hAnsi="微软雅黑" w:eastAsia="微软雅黑"/>
        </w:rPr>
      </w:pPr>
      <w:bookmarkStart w:id="20" w:name="_Toc420309361"/>
      <w:bookmarkStart w:id="21" w:name="_Toc420663549"/>
      <w:bookmarkStart w:id="22" w:name="TitleFormat"/>
      <w:r>
        <w:rPr>
          <w:rFonts w:hint="eastAsia" w:ascii="微软雅黑" w:hAnsi="微软雅黑" w:eastAsia="微软雅黑"/>
        </w:rPr>
        <w:t>计算依据</w:t>
      </w:r>
      <w:bookmarkEnd w:id="20"/>
      <w:bookmarkEnd w:id="21"/>
    </w:p>
    <w:bookmarkEnd w:id="22"/>
    <w:p w14:paraId="332FA7CD">
      <w:pPr>
        <w:rPr>
          <w:szCs w:val="24"/>
        </w:rPr>
      </w:pPr>
      <w:r>
        <w:rPr>
          <w:rFonts w:hint="eastAsia"/>
          <w:szCs w:val="24"/>
        </w:rPr>
        <w:t>1.</w:t>
      </w:r>
      <w:r>
        <w:rPr>
          <w:szCs w:val="24"/>
        </w:rPr>
        <w:t xml:space="preserve"> </w:t>
      </w:r>
      <w:bookmarkStart w:id="23" w:name="参考标准名称1"/>
      <w:r>
        <w:rPr>
          <w:rFonts w:hint="eastAsia"/>
          <w:szCs w:val="24"/>
        </w:rPr>
        <w:t>《绿色建筑评价标准》GB/T50378-2019版+ 局部修订条文 (2024年版)</w:t>
      </w:r>
      <w:bookmarkEnd w:id="23"/>
    </w:p>
    <w:p w14:paraId="117FD88F">
      <w:pPr>
        <w:rPr>
          <w:szCs w:val="24"/>
        </w:rPr>
      </w:pPr>
      <w:r>
        <w:rPr>
          <w:rFonts w:hint="eastAsia"/>
          <w:szCs w:val="24"/>
        </w:rPr>
        <w:t>2.</w:t>
      </w:r>
      <w:r>
        <w:rPr>
          <w:szCs w:val="24"/>
        </w:rPr>
        <w:t xml:space="preserve"> </w:t>
      </w:r>
      <w:r>
        <w:rPr>
          <w:rFonts w:hint="eastAsia"/>
          <w:szCs w:val="24"/>
        </w:rPr>
        <w:t>《绿色建筑评价技术细则》</w:t>
      </w:r>
    </w:p>
    <w:p w14:paraId="69717156">
      <w:pPr>
        <w:rPr>
          <w:szCs w:val="24"/>
        </w:rPr>
      </w:pPr>
      <w:r>
        <w:rPr>
          <w:rFonts w:hint="eastAsia"/>
          <w:szCs w:val="24"/>
        </w:rPr>
        <w:t>3.</w:t>
      </w:r>
      <w:r>
        <w:rPr>
          <w:szCs w:val="24"/>
        </w:rPr>
        <w:t xml:space="preserve"> 《住宅设计规范》GB50096</w:t>
      </w:r>
      <w:r>
        <w:rPr>
          <w:rFonts w:hint="eastAsia"/>
        </w:rPr>
        <w:t>—</w:t>
      </w:r>
      <w:r>
        <w:rPr>
          <w:szCs w:val="24"/>
        </w:rPr>
        <w:t>2011</w:t>
      </w:r>
    </w:p>
    <w:p w14:paraId="0D30F37B">
      <w:pPr>
        <w:rPr>
          <w:szCs w:val="24"/>
        </w:rPr>
      </w:pPr>
      <w:r>
        <w:rPr>
          <w:szCs w:val="24"/>
        </w:rPr>
        <w:t xml:space="preserve">4. </w:t>
      </w:r>
      <w:r>
        <w:rPr>
          <w:rFonts w:hint="eastAsia"/>
          <w:szCs w:val="24"/>
        </w:rPr>
        <w:t xml:space="preserve"> </w:t>
      </w:r>
      <w:r>
        <w:rPr>
          <w:rFonts w:hint="eastAsia"/>
        </w:rPr>
        <w:t>项目</w:t>
      </w:r>
      <w:r>
        <w:rPr>
          <w:rFonts w:hint="eastAsia"/>
          <w:szCs w:val="24"/>
        </w:rPr>
        <w:t>相关建筑图纸</w:t>
      </w:r>
    </w:p>
    <w:p w14:paraId="09611376">
      <w:pPr>
        <w:pStyle w:val="2"/>
        <w:rPr>
          <w:rFonts w:ascii="微软雅黑" w:hAnsi="微软雅黑" w:eastAsia="微软雅黑"/>
          <w:kern w:val="2"/>
        </w:rPr>
      </w:pPr>
      <w:bookmarkStart w:id="24" w:name="TitleFormat1"/>
      <w:bookmarkStart w:id="25" w:name="_Toc420663551"/>
      <w:r>
        <w:rPr>
          <w:rFonts w:hint="eastAsia" w:ascii="微软雅黑" w:hAnsi="微软雅黑" w:eastAsia="微软雅黑"/>
          <w:kern w:val="2"/>
        </w:rPr>
        <w:t>参考标准</w:t>
      </w:r>
    </w:p>
    <w:bookmarkEnd w:id="24"/>
    <w:p w14:paraId="1AE1ABD1">
      <w:pPr>
        <w:ind w:firstLine="420" w:firstLineChars="200"/>
        <w:rPr>
          <w:szCs w:val="24"/>
        </w:rPr>
      </w:pPr>
      <w:r>
        <w:rPr>
          <w:rFonts w:hint="eastAsia"/>
          <w:szCs w:val="24"/>
        </w:rPr>
        <w:t>标准中第</w:t>
      </w:r>
      <w:r>
        <w:rPr>
          <w:szCs w:val="24"/>
        </w:rPr>
        <w:t>5</w:t>
      </w:r>
      <w:r>
        <w:rPr>
          <w:rFonts w:hint="eastAsia"/>
          <w:szCs w:val="24"/>
        </w:rPr>
        <w:t>.2.10条第1款规定：住宅建筑通风开口面积与房间地板面积的比例在夏热冬暖和温和B地区达到12%, 在夏热冬冷和温和A地区达到8%, 在其他地区达到5%, 得5分；每再增加2%, 再得1 分，最高得8分。</w:t>
      </w:r>
    </w:p>
    <w:p w14:paraId="39857B1D">
      <w:pPr>
        <w:spacing w:line="140" w:lineRule="atLeast"/>
        <w:ind w:firstLine="420"/>
        <w:jc w:val="center"/>
        <w:rPr>
          <w:rFonts w:cs="Calibri"/>
          <w:color w:val="000000"/>
          <w:sz w:val="18"/>
          <w:szCs w:val="18"/>
        </w:rPr>
      </w:pPr>
      <w:r>
        <w:rPr>
          <w:rFonts w:hint="eastAsia"/>
          <w:sz w:val="18"/>
          <w:szCs w:val="18"/>
        </w:rPr>
        <w:t xml:space="preserve">表1  </w:t>
      </w:r>
      <w:r>
        <w:rPr>
          <w:rFonts w:hint="eastAsia" w:cs="Calibri"/>
          <w:color w:val="000000"/>
          <w:sz w:val="18"/>
          <w:szCs w:val="18"/>
        </w:rPr>
        <w:t>通风开口面积与房间地板面积比例得分依据</w:t>
      </w:r>
    </w:p>
    <w:tbl>
      <w:tblPr>
        <w:tblStyle w:val="19"/>
        <w:tblW w:w="7508" w:type="dxa"/>
        <w:jc w:val="center"/>
        <w:tblLayout w:type="autofit"/>
        <w:tblCellMar>
          <w:top w:w="0" w:type="dxa"/>
          <w:left w:w="108" w:type="dxa"/>
          <w:bottom w:w="0" w:type="dxa"/>
          <w:right w:w="108" w:type="dxa"/>
        </w:tblCellMar>
      </w:tblPr>
      <w:tblGrid>
        <w:gridCol w:w="2127"/>
        <w:gridCol w:w="3989"/>
        <w:gridCol w:w="1392"/>
      </w:tblGrid>
      <w:tr w14:paraId="34791B2E">
        <w:tblPrEx>
          <w:tblCellMar>
            <w:top w:w="0" w:type="dxa"/>
            <w:left w:w="108" w:type="dxa"/>
            <w:bottom w:w="0" w:type="dxa"/>
            <w:right w:w="108" w:type="dxa"/>
          </w:tblCellMar>
        </w:tblPrEx>
        <w:trPr>
          <w:trHeight w:val="510"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CC3043">
            <w:pPr>
              <w:jc w:val="center"/>
              <w:rPr>
                <w:rFonts w:cs="Calibri"/>
                <w:b/>
                <w:bCs/>
                <w:color w:val="000000"/>
                <w:sz w:val="18"/>
                <w:szCs w:val="18"/>
              </w:rPr>
            </w:pPr>
            <w:r>
              <w:rPr>
                <w:rFonts w:hint="eastAsia" w:cs="Calibri"/>
                <w:b/>
                <w:bCs/>
                <w:color w:val="000000"/>
                <w:sz w:val="18"/>
                <w:szCs w:val="18"/>
              </w:rPr>
              <w:t>气候区</w:t>
            </w:r>
          </w:p>
        </w:tc>
        <w:tc>
          <w:tcPr>
            <w:tcW w:w="3989" w:type="dxa"/>
            <w:tcBorders>
              <w:top w:val="single" w:color="auto" w:sz="4" w:space="0"/>
              <w:left w:val="nil"/>
              <w:bottom w:val="single" w:color="auto" w:sz="4" w:space="0"/>
              <w:right w:val="single" w:color="auto" w:sz="4" w:space="0"/>
            </w:tcBorders>
            <w:shd w:val="clear" w:color="auto" w:fill="auto"/>
            <w:noWrap/>
            <w:vAlign w:val="center"/>
          </w:tcPr>
          <w:p w14:paraId="4A2C34BA">
            <w:pPr>
              <w:ind w:left="34"/>
              <w:jc w:val="center"/>
              <w:rPr>
                <w:rFonts w:cs="Calibri"/>
                <w:b/>
                <w:bCs/>
                <w:color w:val="000000"/>
                <w:sz w:val="18"/>
                <w:szCs w:val="18"/>
              </w:rPr>
            </w:pPr>
            <w:r>
              <w:rPr>
                <w:rFonts w:hint="eastAsia" w:cs="Calibri"/>
                <w:b/>
                <w:bCs/>
                <w:color w:val="000000"/>
                <w:sz w:val="18"/>
                <w:szCs w:val="18"/>
              </w:rPr>
              <w:t>通风开口面积与房间地板面积比例</w:t>
            </w:r>
          </w:p>
        </w:tc>
        <w:tc>
          <w:tcPr>
            <w:tcW w:w="1392" w:type="dxa"/>
            <w:tcBorders>
              <w:top w:val="single" w:color="auto" w:sz="4" w:space="0"/>
              <w:left w:val="nil"/>
              <w:bottom w:val="single" w:color="auto" w:sz="4" w:space="0"/>
              <w:right w:val="single" w:color="auto" w:sz="4" w:space="0"/>
            </w:tcBorders>
            <w:shd w:val="clear" w:color="auto" w:fill="auto"/>
            <w:noWrap/>
            <w:vAlign w:val="center"/>
          </w:tcPr>
          <w:p w14:paraId="47659D31">
            <w:pPr>
              <w:jc w:val="center"/>
              <w:rPr>
                <w:rFonts w:cs="Calibri"/>
                <w:b/>
                <w:bCs/>
                <w:color w:val="000000"/>
                <w:sz w:val="18"/>
                <w:szCs w:val="18"/>
              </w:rPr>
            </w:pPr>
            <w:r>
              <w:rPr>
                <w:rFonts w:hint="eastAsia" w:cs="Calibri"/>
                <w:b/>
                <w:bCs/>
                <w:color w:val="000000"/>
                <w:sz w:val="18"/>
                <w:szCs w:val="18"/>
              </w:rPr>
              <w:t>得分</w:t>
            </w:r>
          </w:p>
        </w:tc>
      </w:tr>
      <w:tr w14:paraId="3043D36A">
        <w:tblPrEx>
          <w:tblCellMar>
            <w:top w:w="0" w:type="dxa"/>
            <w:left w:w="108" w:type="dxa"/>
            <w:bottom w:w="0" w:type="dxa"/>
            <w:right w:w="108" w:type="dxa"/>
          </w:tblCellMar>
        </w:tblPrEx>
        <w:trPr>
          <w:trHeight w:val="397" w:hRule="atLeast"/>
          <w:jc w:val="center"/>
        </w:trPr>
        <w:tc>
          <w:tcPr>
            <w:tcW w:w="2127" w:type="dxa"/>
            <w:vMerge w:val="restart"/>
            <w:tcBorders>
              <w:top w:val="nil"/>
              <w:left w:val="single" w:color="auto" w:sz="4" w:space="0"/>
              <w:bottom w:val="double" w:color="000000" w:sz="6" w:space="0"/>
              <w:right w:val="single" w:color="auto" w:sz="4" w:space="0"/>
            </w:tcBorders>
            <w:shd w:val="clear" w:color="auto" w:fill="auto"/>
            <w:noWrap/>
            <w:vAlign w:val="center"/>
          </w:tcPr>
          <w:p w14:paraId="7BD41FD0">
            <w:pPr>
              <w:jc w:val="center"/>
              <w:rPr>
                <w:rFonts w:cs="Calibri"/>
                <w:color w:val="000000"/>
                <w:sz w:val="18"/>
                <w:szCs w:val="18"/>
              </w:rPr>
            </w:pPr>
            <w:r>
              <w:rPr>
                <w:color w:val="000000"/>
                <w:sz w:val="18"/>
                <w:szCs w:val="18"/>
              </w:rPr>
              <w:t>夏热冬暖</w:t>
            </w:r>
            <w:r>
              <w:rPr>
                <w:rFonts w:hint="eastAsia"/>
                <w:color w:val="000000"/>
                <w:sz w:val="18"/>
                <w:szCs w:val="18"/>
              </w:rPr>
              <w:t>、温和B地区</w:t>
            </w:r>
          </w:p>
        </w:tc>
        <w:tc>
          <w:tcPr>
            <w:tcW w:w="3989" w:type="dxa"/>
            <w:tcBorders>
              <w:top w:val="nil"/>
              <w:left w:val="nil"/>
              <w:bottom w:val="single" w:color="auto" w:sz="4" w:space="0"/>
              <w:right w:val="single" w:color="auto" w:sz="4" w:space="0"/>
            </w:tcBorders>
            <w:shd w:val="clear" w:color="auto" w:fill="auto"/>
            <w:noWrap/>
            <w:vAlign w:val="center"/>
          </w:tcPr>
          <w:p w14:paraId="31DC0E86">
            <w:pPr>
              <w:ind w:left="34"/>
              <w:jc w:val="center"/>
              <w:rPr>
                <w:rFonts w:cs="Calibri"/>
                <w:color w:val="000000"/>
                <w:sz w:val="18"/>
                <w:szCs w:val="18"/>
              </w:rPr>
            </w:pPr>
            <w:r>
              <w:rPr>
                <w:rFonts w:cs="Calibri"/>
                <w:color w:val="000000"/>
                <w:sz w:val="18"/>
                <w:szCs w:val="18"/>
              </w:rPr>
              <w:t>12%</w:t>
            </w:r>
          </w:p>
        </w:tc>
        <w:tc>
          <w:tcPr>
            <w:tcW w:w="1392" w:type="dxa"/>
            <w:tcBorders>
              <w:top w:val="nil"/>
              <w:left w:val="nil"/>
              <w:bottom w:val="single" w:color="auto" w:sz="4" w:space="0"/>
              <w:right w:val="single" w:color="auto" w:sz="4" w:space="0"/>
            </w:tcBorders>
            <w:shd w:val="clear" w:color="auto" w:fill="auto"/>
            <w:noWrap/>
            <w:vAlign w:val="center"/>
          </w:tcPr>
          <w:p w14:paraId="4F1CE036">
            <w:pPr>
              <w:jc w:val="center"/>
              <w:rPr>
                <w:rFonts w:cs="Calibri"/>
                <w:color w:val="000000"/>
                <w:sz w:val="18"/>
                <w:szCs w:val="18"/>
              </w:rPr>
            </w:pPr>
            <w:r>
              <w:rPr>
                <w:rFonts w:cs="Calibri"/>
                <w:color w:val="000000"/>
                <w:sz w:val="18"/>
                <w:szCs w:val="18"/>
              </w:rPr>
              <w:t>5</w:t>
            </w:r>
          </w:p>
        </w:tc>
      </w:tr>
      <w:tr w14:paraId="3BA2746F">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5115638C">
            <w:pPr>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5CC2FD50">
            <w:pPr>
              <w:ind w:left="34"/>
              <w:jc w:val="center"/>
              <w:rPr>
                <w:rFonts w:cs="Calibri"/>
                <w:color w:val="000000"/>
                <w:sz w:val="18"/>
                <w:szCs w:val="18"/>
              </w:rPr>
            </w:pPr>
            <w:r>
              <w:rPr>
                <w:rFonts w:cs="Calibri"/>
                <w:color w:val="000000"/>
                <w:sz w:val="18"/>
                <w:szCs w:val="18"/>
              </w:rPr>
              <w:t>14%</w:t>
            </w:r>
          </w:p>
        </w:tc>
        <w:tc>
          <w:tcPr>
            <w:tcW w:w="1392" w:type="dxa"/>
            <w:tcBorders>
              <w:top w:val="nil"/>
              <w:left w:val="nil"/>
              <w:bottom w:val="single" w:color="auto" w:sz="4" w:space="0"/>
              <w:right w:val="single" w:color="auto" w:sz="4" w:space="0"/>
            </w:tcBorders>
            <w:shd w:val="clear" w:color="auto" w:fill="auto"/>
            <w:noWrap/>
            <w:vAlign w:val="center"/>
          </w:tcPr>
          <w:p w14:paraId="7E15A88C">
            <w:pPr>
              <w:jc w:val="center"/>
              <w:rPr>
                <w:rFonts w:cs="Calibri"/>
                <w:color w:val="000000"/>
                <w:sz w:val="18"/>
                <w:szCs w:val="18"/>
              </w:rPr>
            </w:pPr>
            <w:r>
              <w:rPr>
                <w:rFonts w:cs="Calibri"/>
                <w:color w:val="000000"/>
                <w:sz w:val="18"/>
                <w:szCs w:val="18"/>
              </w:rPr>
              <w:t>6</w:t>
            </w:r>
          </w:p>
        </w:tc>
      </w:tr>
      <w:tr w14:paraId="07EBA414">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7ABF6501">
            <w:pPr>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3844DAA9">
            <w:pPr>
              <w:ind w:left="34"/>
              <w:jc w:val="center"/>
              <w:rPr>
                <w:rFonts w:cs="Calibri"/>
                <w:color w:val="000000"/>
                <w:sz w:val="18"/>
                <w:szCs w:val="18"/>
              </w:rPr>
            </w:pPr>
            <w:r>
              <w:rPr>
                <w:rFonts w:cs="Calibri"/>
                <w:color w:val="000000"/>
                <w:sz w:val="18"/>
                <w:szCs w:val="18"/>
              </w:rPr>
              <w:t>16%</w:t>
            </w:r>
          </w:p>
        </w:tc>
        <w:tc>
          <w:tcPr>
            <w:tcW w:w="1392" w:type="dxa"/>
            <w:tcBorders>
              <w:top w:val="nil"/>
              <w:left w:val="nil"/>
              <w:bottom w:val="single" w:color="auto" w:sz="4" w:space="0"/>
              <w:right w:val="single" w:color="auto" w:sz="4" w:space="0"/>
            </w:tcBorders>
            <w:shd w:val="clear" w:color="auto" w:fill="auto"/>
            <w:noWrap/>
            <w:vAlign w:val="center"/>
          </w:tcPr>
          <w:p w14:paraId="2F49D3D6">
            <w:pPr>
              <w:jc w:val="center"/>
              <w:rPr>
                <w:rFonts w:cs="Calibri"/>
                <w:color w:val="000000"/>
                <w:sz w:val="18"/>
                <w:szCs w:val="18"/>
              </w:rPr>
            </w:pPr>
            <w:r>
              <w:rPr>
                <w:rFonts w:cs="Calibri"/>
                <w:color w:val="000000"/>
                <w:sz w:val="18"/>
                <w:szCs w:val="18"/>
              </w:rPr>
              <w:t>7</w:t>
            </w:r>
          </w:p>
        </w:tc>
      </w:tr>
      <w:tr w14:paraId="31906E03">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0736E7A4">
            <w:pPr>
              <w:jc w:val="center"/>
              <w:rPr>
                <w:rFonts w:cs="Calibri"/>
                <w:color w:val="000000"/>
                <w:sz w:val="18"/>
                <w:szCs w:val="18"/>
              </w:rPr>
            </w:pPr>
          </w:p>
        </w:tc>
        <w:tc>
          <w:tcPr>
            <w:tcW w:w="3989" w:type="dxa"/>
            <w:tcBorders>
              <w:top w:val="nil"/>
              <w:left w:val="nil"/>
              <w:bottom w:val="double" w:color="auto" w:sz="6" w:space="0"/>
              <w:right w:val="single" w:color="auto" w:sz="4" w:space="0"/>
            </w:tcBorders>
            <w:shd w:val="clear" w:color="auto" w:fill="auto"/>
            <w:noWrap/>
            <w:vAlign w:val="center"/>
          </w:tcPr>
          <w:p w14:paraId="504B8F65">
            <w:pPr>
              <w:ind w:left="34"/>
              <w:jc w:val="center"/>
              <w:rPr>
                <w:rFonts w:cs="Calibri"/>
                <w:color w:val="000000"/>
                <w:sz w:val="18"/>
                <w:szCs w:val="18"/>
              </w:rPr>
            </w:pPr>
            <w:r>
              <w:rPr>
                <w:rFonts w:cs="Calibri"/>
                <w:color w:val="000000"/>
                <w:sz w:val="18"/>
                <w:szCs w:val="18"/>
              </w:rPr>
              <w:t>18%</w:t>
            </w:r>
          </w:p>
        </w:tc>
        <w:tc>
          <w:tcPr>
            <w:tcW w:w="1392" w:type="dxa"/>
            <w:tcBorders>
              <w:top w:val="nil"/>
              <w:left w:val="nil"/>
              <w:bottom w:val="double" w:color="auto" w:sz="6" w:space="0"/>
              <w:right w:val="single" w:color="auto" w:sz="4" w:space="0"/>
            </w:tcBorders>
            <w:shd w:val="clear" w:color="auto" w:fill="auto"/>
            <w:noWrap/>
            <w:vAlign w:val="center"/>
          </w:tcPr>
          <w:p w14:paraId="7F44DAFD">
            <w:pPr>
              <w:jc w:val="center"/>
              <w:rPr>
                <w:rFonts w:cs="Calibri"/>
                <w:color w:val="000000"/>
                <w:sz w:val="18"/>
                <w:szCs w:val="18"/>
              </w:rPr>
            </w:pPr>
            <w:r>
              <w:rPr>
                <w:rFonts w:cs="Calibri"/>
                <w:color w:val="000000"/>
                <w:sz w:val="18"/>
                <w:szCs w:val="18"/>
              </w:rPr>
              <w:t>8</w:t>
            </w:r>
          </w:p>
        </w:tc>
      </w:tr>
      <w:tr w14:paraId="06FEFD62">
        <w:tblPrEx>
          <w:tblCellMar>
            <w:top w:w="0" w:type="dxa"/>
            <w:left w:w="108" w:type="dxa"/>
            <w:bottom w:w="0" w:type="dxa"/>
            <w:right w:w="108" w:type="dxa"/>
          </w:tblCellMar>
        </w:tblPrEx>
        <w:trPr>
          <w:trHeight w:val="397" w:hRule="atLeast"/>
          <w:jc w:val="center"/>
        </w:trPr>
        <w:tc>
          <w:tcPr>
            <w:tcW w:w="2127" w:type="dxa"/>
            <w:vMerge w:val="restart"/>
            <w:tcBorders>
              <w:top w:val="nil"/>
              <w:left w:val="single" w:color="auto" w:sz="4" w:space="0"/>
              <w:bottom w:val="double" w:color="000000" w:sz="6" w:space="0"/>
              <w:right w:val="single" w:color="auto" w:sz="4" w:space="0"/>
            </w:tcBorders>
            <w:shd w:val="clear" w:color="auto" w:fill="auto"/>
            <w:noWrap/>
            <w:vAlign w:val="center"/>
          </w:tcPr>
          <w:p w14:paraId="1D334F55">
            <w:pPr>
              <w:jc w:val="center"/>
              <w:rPr>
                <w:rFonts w:cs="Calibri"/>
                <w:color w:val="000000"/>
                <w:sz w:val="18"/>
                <w:szCs w:val="18"/>
              </w:rPr>
            </w:pPr>
            <w:r>
              <w:rPr>
                <w:color w:val="000000"/>
                <w:sz w:val="18"/>
                <w:szCs w:val="18"/>
              </w:rPr>
              <w:t>夏热冬冷</w:t>
            </w:r>
            <w:r>
              <w:rPr>
                <w:rFonts w:hint="eastAsia"/>
                <w:color w:val="000000"/>
                <w:sz w:val="18"/>
                <w:szCs w:val="18"/>
              </w:rPr>
              <w:t>、温和A地区</w:t>
            </w:r>
          </w:p>
        </w:tc>
        <w:tc>
          <w:tcPr>
            <w:tcW w:w="3989" w:type="dxa"/>
            <w:tcBorders>
              <w:top w:val="nil"/>
              <w:left w:val="nil"/>
              <w:bottom w:val="single" w:color="auto" w:sz="4" w:space="0"/>
              <w:right w:val="single" w:color="auto" w:sz="4" w:space="0"/>
            </w:tcBorders>
            <w:shd w:val="clear" w:color="auto" w:fill="auto"/>
            <w:noWrap/>
            <w:vAlign w:val="center"/>
          </w:tcPr>
          <w:p w14:paraId="0A1EDB14">
            <w:pPr>
              <w:ind w:left="34"/>
              <w:jc w:val="center"/>
              <w:rPr>
                <w:rFonts w:cs="Calibri"/>
                <w:color w:val="000000"/>
                <w:sz w:val="18"/>
                <w:szCs w:val="18"/>
              </w:rPr>
            </w:pPr>
            <w:r>
              <w:rPr>
                <w:rFonts w:cs="Calibri"/>
                <w:color w:val="000000"/>
                <w:sz w:val="18"/>
                <w:szCs w:val="18"/>
              </w:rPr>
              <w:t>8%</w:t>
            </w:r>
          </w:p>
        </w:tc>
        <w:tc>
          <w:tcPr>
            <w:tcW w:w="1392" w:type="dxa"/>
            <w:tcBorders>
              <w:top w:val="nil"/>
              <w:left w:val="nil"/>
              <w:bottom w:val="single" w:color="auto" w:sz="4" w:space="0"/>
              <w:right w:val="single" w:color="auto" w:sz="4" w:space="0"/>
            </w:tcBorders>
            <w:shd w:val="clear" w:color="auto" w:fill="auto"/>
            <w:noWrap/>
            <w:vAlign w:val="center"/>
          </w:tcPr>
          <w:p w14:paraId="49F7733C">
            <w:pPr>
              <w:jc w:val="center"/>
              <w:rPr>
                <w:rFonts w:cs="Calibri"/>
                <w:color w:val="000000"/>
                <w:sz w:val="18"/>
                <w:szCs w:val="18"/>
              </w:rPr>
            </w:pPr>
            <w:r>
              <w:rPr>
                <w:rFonts w:cs="Calibri"/>
                <w:color w:val="000000"/>
                <w:sz w:val="18"/>
                <w:szCs w:val="18"/>
              </w:rPr>
              <w:t>5</w:t>
            </w:r>
          </w:p>
        </w:tc>
      </w:tr>
      <w:tr w14:paraId="363E4064">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7A0AF6B3">
            <w:pPr>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6EB77F21">
            <w:pPr>
              <w:ind w:left="34"/>
              <w:jc w:val="center"/>
              <w:rPr>
                <w:rFonts w:cs="Calibri"/>
                <w:color w:val="000000"/>
                <w:sz w:val="18"/>
                <w:szCs w:val="18"/>
              </w:rPr>
            </w:pPr>
            <w:r>
              <w:rPr>
                <w:rFonts w:cs="Calibri"/>
                <w:color w:val="000000"/>
                <w:sz w:val="18"/>
                <w:szCs w:val="18"/>
              </w:rPr>
              <w:t>10%</w:t>
            </w:r>
          </w:p>
        </w:tc>
        <w:tc>
          <w:tcPr>
            <w:tcW w:w="1392" w:type="dxa"/>
            <w:tcBorders>
              <w:top w:val="nil"/>
              <w:left w:val="nil"/>
              <w:bottom w:val="single" w:color="auto" w:sz="4" w:space="0"/>
              <w:right w:val="single" w:color="auto" w:sz="4" w:space="0"/>
            </w:tcBorders>
            <w:shd w:val="clear" w:color="auto" w:fill="auto"/>
            <w:noWrap/>
            <w:vAlign w:val="center"/>
          </w:tcPr>
          <w:p w14:paraId="5CF1DAA0">
            <w:pPr>
              <w:jc w:val="center"/>
              <w:rPr>
                <w:rFonts w:cs="Calibri"/>
                <w:color w:val="000000"/>
                <w:sz w:val="18"/>
                <w:szCs w:val="18"/>
              </w:rPr>
            </w:pPr>
            <w:r>
              <w:rPr>
                <w:rFonts w:cs="Calibri"/>
                <w:color w:val="000000"/>
                <w:sz w:val="18"/>
                <w:szCs w:val="18"/>
              </w:rPr>
              <w:t>6</w:t>
            </w:r>
          </w:p>
        </w:tc>
      </w:tr>
      <w:tr w14:paraId="7E0B2DF4">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3FD21D1A">
            <w:pPr>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6F683618">
            <w:pPr>
              <w:ind w:left="34"/>
              <w:jc w:val="center"/>
              <w:rPr>
                <w:rFonts w:cs="Calibri"/>
                <w:color w:val="000000"/>
                <w:sz w:val="18"/>
                <w:szCs w:val="18"/>
              </w:rPr>
            </w:pPr>
            <w:r>
              <w:rPr>
                <w:rFonts w:cs="Calibri"/>
                <w:color w:val="000000"/>
                <w:sz w:val="18"/>
                <w:szCs w:val="18"/>
              </w:rPr>
              <w:t>12%</w:t>
            </w:r>
          </w:p>
        </w:tc>
        <w:tc>
          <w:tcPr>
            <w:tcW w:w="1392" w:type="dxa"/>
            <w:tcBorders>
              <w:top w:val="nil"/>
              <w:left w:val="nil"/>
              <w:bottom w:val="single" w:color="auto" w:sz="4" w:space="0"/>
              <w:right w:val="single" w:color="auto" w:sz="4" w:space="0"/>
            </w:tcBorders>
            <w:shd w:val="clear" w:color="auto" w:fill="auto"/>
            <w:noWrap/>
            <w:vAlign w:val="center"/>
          </w:tcPr>
          <w:p w14:paraId="3D65D99F">
            <w:pPr>
              <w:jc w:val="center"/>
              <w:rPr>
                <w:rFonts w:cs="Calibri"/>
                <w:color w:val="000000"/>
                <w:sz w:val="18"/>
                <w:szCs w:val="18"/>
              </w:rPr>
            </w:pPr>
            <w:r>
              <w:rPr>
                <w:rFonts w:cs="Calibri"/>
                <w:color w:val="000000"/>
                <w:sz w:val="18"/>
                <w:szCs w:val="18"/>
              </w:rPr>
              <w:t>7</w:t>
            </w:r>
          </w:p>
        </w:tc>
      </w:tr>
      <w:tr w14:paraId="75A022AF">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105D5D55">
            <w:pPr>
              <w:jc w:val="center"/>
              <w:rPr>
                <w:rFonts w:cs="Calibri"/>
                <w:color w:val="000000"/>
                <w:sz w:val="18"/>
                <w:szCs w:val="18"/>
              </w:rPr>
            </w:pPr>
          </w:p>
        </w:tc>
        <w:tc>
          <w:tcPr>
            <w:tcW w:w="3989" w:type="dxa"/>
            <w:tcBorders>
              <w:top w:val="nil"/>
              <w:left w:val="nil"/>
              <w:bottom w:val="double" w:color="auto" w:sz="6" w:space="0"/>
              <w:right w:val="single" w:color="auto" w:sz="4" w:space="0"/>
            </w:tcBorders>
            <w:shd w:val="clear" w:color="auto" w:fill="auto"/>
            <w:noWrap/>
            <w:vAlign w:val="center"/>
          </w:tcPr>
          <w:p w14:paraId="2E8EFB79">
            <w:pPr>
              <w:ind w:left="34"/>
              <w:jc w:val="center"/>
              <w:rPr>
                <w:rFonts w:cs="Calibri"/>
                <w:color w:val="000000"/>
                <w:sz w:val="18"/>
                <w:szCs w:val="18"/>
              </w:rPr>
            </w:pPr>
            <w:r>
              <w:rPr>
                <w:rFonts w:cs="Calibri"/>
                <w:color w:val="000000"/>
                <w:sz w:val="18"/>
                <w:szCs w:val="18"/>
              </w:rPr>
              <w:t>14%</w:t>
            </w:r>
          </w:p>
        </w:tc>
        <w:tc>
          <w:tcPr>
            <w:tcW w:w="1392" w:type="dxa"/>
            <w:tcBorders>
              <w:top w:val="nil"/>
              <w:left w:val="nil"/>
              <w:bottom w:val="double" w:color="auto" w:sz="6" w:space="0"/>
              <w:right w:val="single" w:color="auto" w:sz="4" w:space="0"/>
            </w:tcBorders>
            <w:shd w:val="clear" w:color="auto" w:fill="auto"/>
            <w:noWrap/>
            <w:vAlign w:val="center"/>
          </w:tcPr>
          <w:p w14:paraId="6CE7B7EE">
            <w:pPr>
              <w:jc w:val="center"/>
              <w:rPr>
                <w:rFonts w:cs="Calibri"/>
                <w:color w:val="000000"/>
                <w:sz w:val="18"/>
                <w:szCs w:val="18"/>
              </w:rPr>
            </w:pPr>
            <w:r>
              <w:rPr>
                <w:rFonts w:cs="Calibri"/>
                <w:color w:val="000000"/>
                <w:sz w:val="18"/>
                <w:szCs w:val="18"/>
              </w:rPr>
              <w:t>8</w:t>
            </w:r>
          </w:p>
        </w:tc>
      </w:tr>
      <w:tr w14:paraId="0845F4F2">
        <w:tblPrEx>
          <w:tblCellMar>
            <w:top w:w="0" w:type="dxa"/>
            <w:left w:w="108" w:type="dxa"/>
            <w:bottom w:w="0" w:type="dxa"/>
            <w:right w:w="108" w:type="dxa"/>
          </w:tblCellMar>
        </w:tblPrEx>
        <w:trPr>
          <w:trHeight w:val="397" w:hRule="atLeast"/>
          <w:jc w:val="center"/>
        </w:trPr>
        <w:tc>
          <w:tcPr>
            <w:tcW w:w="2127" w:type="dxa"/>
            <w:vMerge w:val="restart"/>
            <w:tcBorders>
              <w:top w:val="nil"/>
              <w:left w:val="single" w:color="auto" w:sz="4" w:space="0"/>
              <w:bottom w:val="single" w:color="000000" w:sz="4" w:space="0"/>
              <w:right w:val="single" w:color="auto" w:sz="4" w:space="0"/>
            </w:tcBorders>
            <w:shd w:val="clear" w:color="auto" w:fill="auto"/>
            <w:noWrap/>
            <w:vAlign w:val="center"/>
          </w:tcPr>
          <w:p w14:paraId="07780208">
            <w:pPr>
              <w:jc w:val="center"/>
              <w:rPr>
                <w:rFonts w:cs="Calibri"/>
                <w:color w:val="000000"/>
                <w:sz w:val="18"/>
                <w:szCs w:val="18"/>
              </w:rPr>
            </w:pPr>
            <w:r>
              <w:rPr>
                <w:color w:val="000000"/>
                <w:sz w:val="18"/>
                <w:szCs w:val="18"/>
              </w:rPr>
              <w:t>其他地区</w:t>
            </w:r>
          </w:p>
        </w:tc>
        <w:tc>
          <w:tcPr>
            <w:tcW w:w="3989" w:type="dxa"/>
            <w:tcBorders>
              <w:top w:val="nil"/>
              <w:left w:val="nil"/>
              <w:bottom w:val="single" w:color="auto" w:sz="4" w:space="0"/>
              <w:right w:val="single" w:color="auto" w:sz="4" w:space="0"/>
            </w:tcBorders>
            <w:shd w:val="clear" w:color="auto" w:fill="auto"/>
            <w:noWrap/>
            <w:vAlign w:val="center"/>
          </w:tcPr>
          <w:p w14:paraId="39E58A42">
            <w:pPr>
              <w:ind w:left="34"/>
              <w:jc w:val="center"/>
              <w:rPr>
                <w:rFonts w:cs="Calibri"/>
                <w:color w:val="000000"/>
                <w:sz w:val="18"/>
                <w:szCs w:val="18"/>
              </w:rPr>
            </w:pPr>
            <w:r>
              <w:rPr>
                <w:rFonts w:cs="Calibri"/>
                <w:color w:val="000000"/>
                <w:sz w:val="18"/>
                <w:szCs w:val="18"/>
              </w:rPr>
              <w:t>5%</w:t>
            </w:r>
          </w:p>
        </w:tc>
        <w:tc>
          <w:tcPr>
            <w:tcW w:w="1392" w:type="dxa"/>
            <w:tcBorders>
              <w:top w:val="nil"/>
              <w:left w:val="nil"/>
              <w:bottom w:val="single" w:color="auto" w:sz="4" w:space="0"/>
              <w:right w:val="single" w:color="auto" w:sz="4" w:space="0"/>
            </w:tcBorders>
            <w:shd w:val="clear" w:color="auto" w:fill="auto"/>
            <w:noWrap/>
            <w:vAlign w:val="center"/>
          </w:tcPr>
          <w:p w14:paraId="05B5E485">
            <w:pPr>
              <w:jc w:val="center"/>
              <w:rPr>
                <w:rFonts w:cs="Calibri"/>
                <w:color w:val="000000"/>
                <w:sz w:val="18"/>
                <w:szCs w:val="18"/>
              </w:rPr>
            </w:pPr>
            <w:r>
              <w:rPr>
                <w:rFonts w:cs="Calibri"/>
                <w:color w:val="000000"/>
                <w:sz w:val="18"/>
                <w:szCs w:val="18"/>
              </w:rPr>
              <w:t>5</w:t>
            </w:r>
          </w:p>
        </w:tc>
      </w:tr>
      <w:tr w14:paraId="1A86A973">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single" w:color="000000" w:sz="4" w:space="0"/>
              <w:right w:val="single" w:color="auto" w:sz="4" w:space="0"/>
            </w:tcBorders>
            <w:vAlign w:val="center"/>
          </w:tcPr>
          <w:p w14:paraId="0BA64C92">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58B41E0E">
            <w:pPr>
              <w:ind w:left="34"/>
              <w:jc w:val="center"/>
              <w:rPr>
                <w:rFonts w:cs="Calibri"/>
                <w:color w:val="000000"/>
                <w:sz w:val="18"/>
                <w:szCs w:val="18"/>
              </w:rPr>
            </w:pPr>
            <w:r>
              <w:rPr>
                <w:rFonts w:cs="Calibri"/>
                <w:color w:val="000000"/>
                <w:sz w:val="18"/>
                <w:szCs w:val="18"/>
              </w:rPr>
              <w:t>7%</w:t>
            </w:r>
          </w:p>
        </w:tc>
        <w:tc>
          <w:tcPr>
            <w:tcW w:w="1392" w:type="dxa"/>
            <w:tcBorders>
              <w:top w:val="nil"/>
              <w:left w:val="nil"/>
              <w:bottom w:val="single" w:color="auto" w:sz="4" w:space="0"/>
              <w:right w:val="single" w:color="auto" w:sz="4" w:space="0"/>
            </w:tcBorders>
            <w:shd w:val="clear" w:color="auto" w:fill="auto"/>
            <w:noWrap/>
            <w:vAlign w:val="center"/>
          </w:tcPr>
          <w:p w14:paraId="2F1B70DE">
            <w:pPr>
              <w:jc w:val="center"/>
              <w:rPr>
                <w:rFonts w:cs="Calibri"/>
                <w:color w:val="000000"/>
                <w:sz w:val="18"/>
                <w:szCs w:val="18"/>
              </w:rPr>
            </w:pPr>
            <w:r>
              <w:rPr>
                <w:rFonts w:cs="Calibri"/>
                <w:color w:val="000000"/>
                <w:sz w:val="18"/>
                <w:szCs w:val="18"/>
              </w:rPr>
              <w:t>6</w:t>
            </w:r>
          </w:p>
        </w:tc>
      </w:tr>
      <w:tr w14:paraId="1B40C333">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single" w:color="000000" w:sz="4" w:space="0"/>
              <w:right w:val="single" w:color="auto" w:sz="4" w:space="0"/>
            </w:tcBorders>
            <w:vAlign w:val="center"/>
          </w:tcPr>
          <w:p w14:paraId="22019F20">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157B0F95">
            <w:pPr>
              <w:ind w:left="34"/>
              <w:jc w:val="center"/>
              <w:rPr>
                <w:rFonts w:cs="Calibri"/>
                <w:color w:val="000000"/>
                <w:sz w:val="18"/>
                <w:szCs w:val="18"/>
              </w:rPr>
            </w:pPr>
            <w:r>
              <w:rPr>
                <w:rFonts w:cs="Calibri"/>
                <w:color w:val="000000"/>
                <w:sz w:val="18"/>
                <w:szCs w:val="18"/>
              </w:rPr>
              <w:t>9%</w:t>
            </w:r>
          </w:p>
        </w:tc>
        <w:tc>
          <w:tcPr>
            <w:tcW w:w="1392" w:type="dxa"/>
            <w:tcBorders>
              <w:top w:val="nil"/>
              <w:left w:val="nil"/>
              <w:bottom w:val="single" w:color="auto" w:sz="4" w:space="0"/>
              <w:right w:val="single" w:color="auto" w:sz="4" w:space="0"/>
            </w:tcBorders>
            <w:shd w:val="clear" w:color="auto" w:fill="auto"/>
            <w:noWrap/>
            <w:vAlign w:val="center"/>
          </w:tcPr>
          <w:p w14:paraId="7654A133">
            <w:pPr>
              <w:jc w:val="center"/>
              <w:rPr>
                <w:rFonts w:cs="Calibri"/>
                <w:color w:val="000000"/>
                <w:sz w:val="18"/>
                <w:szCs w:val="18"/>
              </w:rPr>
            </w:pPr>
            <w:r>
              <w:rPr>
                <w:rFonts w:cs="Calibri"/>
                <w:color w:val="000000"/>
                <w:sz w:val="18"/>
                <w:szCs w:val="18"/>
              </w:rPr>
              <w:t>7</w:t>
            </w:r>
          </w:p>
        </w:tc>
      </w:tr>
      <w:tr w14:paraId="015E09DB">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single" w:color="000000" w:sz="4" w:space="0"/>
              <w:right w:val="single" w:color="auto" w:sz="4" w:space="0"/>
            </w:tcBorders>
            <w:vAlign w:val="center"/>
          </w:tcPr>
          <w:p w14:paraId="4E27CF87">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1D9913B6">
            <w:pPr>
              <w:ind w:left="34"/>
              <w:jc w:val="center"/>
              <w:rPr>
                <w:rFonts w:cs="Calibri"/>
                <w:color w:val="000000"/>
                <w:sz w:val="18"/>
                <w:szCs w:val="18"/>
              </w:rPr>
            </w:pPr>
            <w:r>
              <w:rPr>
                <w:rFonts w:cs="Calibri"/>
                <w:color w:val="000000"/>
                <w:sz w:val="18"/>
                <w:szCs w:val="18"/>
              </w:rPr>
              <w:t>11%</w:t>
            </w:r>
          </w:p>
        </w:tc>
        <w:tc>
          <w:tcPr>
            <w:tcW w:w="1392" w:type="dxa"/>
            <w:tcBorders>
              <w:top w:val="nil"/>
              <w:left w:val="nil"/>
              <w:bottom w:val="single" w:color="auto" w:sz="4" w:space="0"/>
              <w:right w:val="single" w:color="auto" w:sz="4" w:space="0"/>
            </w:tcBorders>
            <w:shd w:val="clear" w:color="auto" w:fill="auto"/>
            <w:noWrap/>
            <w:vAlign w:val="center"/>
          </w:tcPr>
          <w:p w14:paraId="4B43030F">
            <w:pPr>
              <w:jc w:val="center"/>
              <w:rPr>
                <w:rFonts w:cs="Calibri"/>
                <w:color w:val="000000"/>
                <w:sz w:val="18"/>
                <w:szCs w:val="18"/>
              </w:rPr>
            </w:pPr>
            <w:r>
              <w:rPr>
                <w:rFonts w:cs="Calibri"/>
                <w:color w:val="000000"/>
                <w:sz w:val="18"/>
                <w:szCs w:val="18"/>
              </w:rPr>
              <w:t>8</w:t>
            </w:r>
          </w:p>
        </w:tc>
      </w:tr>
    </w:tbl>
    <w:p w14:paraId="6C5D6930"/>
    <w:p w14:paraId="61102C30">
      <w:pPr>
        <w:pStyle w:val="2"/>
        <w:rPr>
          <w:rFonts w:ascii="微软雅黑" w:hAnsi="微软雅黑" w:eastAsia="微软雅黑"/>
          <w:kern w:val="2"/>
        </w:rPr>
      </w:pPr>
      <w:r>
        <w:rPr>
          <w:rFonts w:hint="eastAsia" w:ascii="微软雅黑" w:hAnsi="微软雅黑" w:eastAsia="微软雅黑"/>
          <w:kern w:val="2"/>
        </w:rPr>
        <w:t>计算内容</w:t>
      </w:r>
      <w:bookmarkEnd w:id="25"/>
      <w:r>
        <w:rPr>
          <w:rFonts w:hint="eastAsia" w:ascii="微软雅黑" w:hAnsi="微软雅黑" w:eastAsia="微软雅黑"/>
          <w:kern w:val="2"/>
        </w:rPr>
        <w:t>和方法</w:t>
      </w:r>
    </w:p>
    <w:p w14:paraId="372E710E">
      <w:pPr>
        <w:widowControl w:val="0"/>
        <w:ind w:firstLine="420" w:firstLineChars="200"/>
        <w:jc w:val="both"/>
        <w:rPr>
          <w:kern w:val="2"/>
          <w:szCs w:val="24"/>
          <w:lang w:val="en-US"/>
        </w:rPr>
      </w:pPr>
      <w:r>
        <w:rPr>
          <w:rFonts w:hint="eastAsia"/>
          <w:kern w:val="2"/>
          <w:szCs w:val="24"/>
          <w:lang w:val="en-US"/>
        </w:rPr>
        <w:t>本项目统计了建筑主要功能房间以及每套住宅的通风开口面积与地板面积比例，并且考虑了门窗开启对通风开口面积的的影响，具体计算方法详见下面小节。</w:t>
      </w:r>
    </w:p>
    <w:p w14:paraId="28C3D2A0">
      <w:pPr>
        <w:widowControl w:val="0"/>
        <w:ind w:left="420"/>
        <w:jc w:val="both"/>
        <w:rPr>
          <w:kern w:val="2"/>
          <w:szCs w:val="24"/>
          <w:lang w:val="en-US"/>
        </w:rPr>
      </w:pPr>
      <w:r>
        <w:rPr>
          <w:rFonts w:hint="eastAsia"/>
          <w:kern w:val="2"/>
          <w:szCs w:val="24"/>
          <w:lang w:val="en-US"/>
        </w:rPr>
        <w:t>单个房间通风开口面积比例计算：</w:t>
      </w:r>
    </w:p>
    <w:p w14:paraId="637AD921">
      <w:pPr>
        <w:widowControl w:val="0"/>
        <w:jc w:val="center"/>
        <w:rPr>
          <w:kern w:val="2"/>
          <w:szCs w:val="24"/>
          <w:lang w:val="en-US"/>
        </w:rPr>
      </w:pPr>
      <w:r>
        <w:rPr>
          <w:kern w:val="2"/>
          <w:position w:val="-32"/>
          <w:szCs w:val="24"/>
          <w:lang w:val="en-US"/>
        </w:rPr>
        <w:object>
          <v:shape id="_x0000_i1025" o:spt="75" type="#_x0000_t75" style="height:36.75pt;width:108.75pt;" o:ole="t" filled="f" o:preferrelative="t" stroked="f" coordsize="21600,21600">
            <v:path/>
            <v:fill on="f" focussize="0,0"/>
            <v:stroke on="f" joinstyle="miter"/>
            <v:imagedata r:id="rId9" o:title=""/>
            <o:lock v:ext="edit" aspectratio="t"/>
            <w10:wrap type="none"/>
            <w10:anchorlock/>
          </v:shape>
          <o:OLEObject Type="Embed" ProgID="Equation.DSMT4" ShapeID="_x0000_i1025" DrawAspect="Content" ObjectID="_1468075725" r:id="rId8">
            <o:LockedField>false</o:LockedField>
          </o:OLEObject>
        </w:object>
      </w:r>
      <w:r>
        <w:rPr>
          <w:kern w:val="2"/>
          <w:szCs w:val="24"/>
          <w:lang w:val="en-US"/>
        </w:rPr>
        <w:t xml:space="preserve"> </w:t>
      </w:r>
    </w:p>
    <w:p w14:paraId="2771D4CC">
      <w:pPr>
        <w:widowControl w:val="0"/>
        <w:ind w:left="420" w:leftChars="200"/>
        <w:rPr>
          <w:kern w:val="2"/>
          <w:szCs w:val="24"/>
          <w:lang w:val="en-US"/>
        </w:rPr>
      </w:pPr>
      <w:r>
        <w:rPr>
          <w:rFonts w:hint="eastAsia"/>
          <w:kern w:val="2"/>
          <w:szCs w:val="24"/>
          <w:lang w:val="en-US"/>
        </w:rPr>
        <w:t>式中：</w:t>
      </w:r>
    </w:p>
    <w:p w14:paraId="46DA7BC7">
      <w:pPr>
        <w:widowControl w:val="0"/>
        <w:ind w:left="1050" w:leftChars="500"/>
        <w:rPr>
          <w:kern w:val="2"/>
          <w:szCs w:val="24"/>
          <w:lang w:val="en-US"/>
        </w:rPr>
      </w:pPr>
      <w:r>
        <w:rPr>
          <w:kern w:val="2"/>
          <w:position w:val="-14"/>
          <w:szCs w:val="24"/>
          <w:lang w:val="en-US"/>
        </w:rPr>
        <w:object>
          <v:shape id="_x0000_i1026" o:spt="75" type="#_x0000_t75" style="height:21.75pt;width:36.75pt;" o:ole="t" filled="f" o:preferrelative="t" stroked="f" coordsize="21600,21600">
            <v:path/>
            <v:fill on="f" focussize="0,0"/>
            <v:stroke on="f" joinstyle="miter"/>
            <v:imagedata r:id="rId11" o:title=""/>
            <o:lock v:ext="edit" aspectratio="t"/>
            <w10:wrap type="none"/>
            <w10:anchorlock/>
          </v:shape>
          <o:OLEObject Type="Embed" ProgID="Equation.DSMT4" ShapeID="_x0000_i1026" DrawAspect="Content" ObjectID="_1468075726" r:id="rId10">
            <o:LockedField>false</o:LockedField>
          </o:OLEObject>
        </w:object>
      </w:r>
      <w:r>
        <w:rPr>
          <w:rFonts w:hint="eastAsia"/>
          <w:kern w:val="2"/>
          <w:szCs w:val="24"/>
          <w:lang w:val="en-US"/>
        </w:rPr>
        <w:t>— 单个房间通风开口面积比例（%）；</w:t>
      </w:r>
    </w:p>
    <w:p w14:paraId="5D10E4C4">
      <w:pPr>
        <w:widowControl w:val="0"/>
        <w:ind w:left="1050" w:leftChars="500"/>
        <w:rPr>
          <w:kern w:val="2"/>
          <w:szCs w:val="24"/>
          <w:lang w:val="en-US"/>
        </w:rPr>
      </w:pPr>
      <w:r>
        <w:rPr>
          <w:kern w:val="2"/>
          <w:position w:val="-12"/>
          <w:szCs w:val="24"/>
          <w:lang w:val="en-US"/>
        </w:rPr>
        <w:object>
          <v:shape id="_x0000_i1027" o:spt="75" type="#_x0000_t75" style="height:21pt;width:21pt;" o:ole="t" filled="f" o:preferrelative="t" stroked="f" coordsize="21600,21600">
            <v:path/>
            <v:fill on="f" focussize="0,0"/>
            <v:stroke on="f" joinstyle="miter"/>
            <v:imagedata r:id="rId13" o:title=""/>
            <o:lock v:ext="edit" aspectratio="t"/>
            <w10:wrap type="none"/>
            <w10:anchorlock/>
          </v:shape>
          <o:OLEObject Type="Embed" ProgID="Equation.DSMT4" ShapeID="_x0000_i1027" DrawAspect="Content" ObjectID="_1468075727" r:id="rId12">
            <o:LockedField>false</o:LockedField>
          </o:OLEObject>
        </w:object>
      </w:r>
      <w:r>
        <w:rPr>
          <w:rFonts w:hint="eastAsia"/>
          <w:kern w:val="2"/>
          <w:szCs w:val="24"/>
          <w:lang w:val="en-US"/>
        </w:rPr>
        <w:t>— 单个房间通风开口面积之和（m</w:t>
      </w:r>
      <w:r>
        <w:rPr>
          <w:rFonts w:hint="eastAsia"/>
          <w:kern w:val="2"/>
          <w:szCs w:val="24"/>
          <w:vertAlign w:val="superscript"/>
          <w:lang w:val="en-US"/>
        </w:rPr>
        <w:t>2</w:t>
      </w:r>
      <w:r>
        <w:rPr>
          <w:rFonts w:hint="eastAsia"/>
          <w:kern w:val="2"/>
          <w:szCs w:val="24"/>
          <w:lang w:val="en-US"/>
        </w:rPr>
        <w:t>）；</w:t>
      </w:r>
    </w:p>
    <w:p w14:paraId="25FBB119">
      <w:pPr>
        <w:widowControl w:val="0"/>
        <w:ind w:left="1050" w:leftChars="500"/>
        <w:rPr>
          <w:kern w:val="2"/>
          <w:szCs w:val="24"/>
          <w:lang w:val="en-US"/>
        </w:rPr>
      </w:pPr>
      <w:r>
        <w:rPr>
          <w:kern w:val="2"/>
          <w:position w:val="-14"/>
          <w:szCs w:val="24"/>
          <w:lang w:val="en-US"/>
        </w:rPr>
        <w:object>
          <v:shape id="_x0000_i1028" o:spt="75" type="#_x0000_t75" style="height:21.75pt;width:13.5pt;" o:ole="t" filled="f" o:preferrelative="t" stroked="f" coordsize="21600,21600">
            <v:path/>
            <v:fill on="f" focussize="0,0"/>
            <v:stroke on="f" joinstyle="miter"/>
            <v:imagedata r:id="rId15" o:title=""/>
            <o:lock v:ext="edit" aspectratio="t"/>
            <w10:wrap type="none"/>
            <w10:anchorlock/>
          </v:shape>
          <o:OLEObject Type="Embed" ProgID="Equation.DSMT4" ShapeID="_x0000_i1028" DrawAspect="Content" ObjectID="_1468075728" r:id="rId14">
            <o:LockedField>false</o:LockedField>
          </o:OLEObject>
        </w:object>
      </w:r>
      <w:r>
        <w:rPr>
          <w:rFonts w:hint="eastAsia"/>
          <w:kern w:val="2"/>
          <w:szCs w:val="24"/>
          <w:lang w:val="en-US"/>
        </w:rPr>
        <w:t>— 单个房间地板面积（m</w:t>
      </w:r>
      <w:r>
        <w:rPr>
          <w:rFonts w:hint="eastAsia"/>
          <w:kern w:val="2"/>
          <w:szCs w:val="24"/>
          <w:vertAlign w:val="superscript"/>
          <w:lang w:val="en-US"/>
        </w:rPr>
        <w:t>2</w:t>
      </w:r>
      <w:r>
        <w:rPr>
          <w:rFonts w:hint="eastAsia"/>
          <w:kern w:val="2"/>
          <w:szCs w:val="24"/>
          <w:lang w:val="en-US"/>
        </w:rPr>
        <w:t>）。</w:t>
      </w:r>
    </w:p>
    <w:p w14:paraId="68A30AE1">
      <w:pPr>
        <w:widowControl w:val="0"/>
        <w:ind w:left="1050" w:leftChars="500"/>
        <w:rPr>
          <w:kern w:val="2"/>
          <w:lang w:val="en-US"/>
        </w:rPr>
      </w:pPr>
    </w:p>
    <w:p w14:paraId="1D9A778F">
      <w:pPr>
        <w:widowControl w:val="0"/>
        <w:ind w:firstLine="420"/>
        <w:rPr>
          <w:kern w:val="2"/>
          <w:szCs w:val="24"/>
          <w:lang w:val="en-US"/>
        </w:rPr>
      </w:pPr>
      <w:r>
        <w:rPr>
          <w:rFonts w:hint="eastAsia"/>
          <w:kern w:val="2"/>
          <w:szCs w:val="24"/>
          <w:lang w:val="en-US"/>
        </w:rPr>
        <w:t>注：通风开口面积即窗扇开启后，窗扇洞口界面上空气可流通的面积。如下图所示。</w:t>
      </w:r>
    </w:p>
    <w:p w14:paraId="3A2EB0EE">
      <w:pPr>
        <w:widowControl w:val="0"/>
        <w:jc w:val="center"/>
        <w:rPr>
          <w:kern w:val="2"/>
          <w:szCs w:val="24"/>
          <w:lang w:val="en-US"/>
        </w:rPr>
      </w:pPr>
      <w:r>
        <w:rPr>
          <w:kern w:val="2"/>
          <w:szCs w:val="24"/>
          <w:lang w:val="en-US"/>
        </w:rPr>
        <w:drawing>
          <wp:inline distT="0" distB="0" distL="0" distR="0">
            <wp:extent cx="4533900" cy="2647950"/>
            <wp:effectExtent l="0" t="0" r="0" b="0"/>
            <wp:docPr id="6" name="图片 6" descr="开口面积和开启面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开口面积和开启面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560727" cy="2663739"/>
                    </a:xfrm>
                    <a:prstGeom prst="rect">
                      <a:avLst/>
                    </a:prstGeom>
                    <a:noFill/>
                    <a:ln>
                      <a:noFill/>
                    </a:ln>
                  </pic:spPr>
                </pic:pic>
              </a:graphicData>
            </a:graphic>
          </wp:inline>
        </w:drawing>
      </w:r>
    </w:p>
    <w:p w14:paraId="087D4AFC">
      <w:pPr>
        <w:widowControl w:val="0"/>
        <w:ind w:firstLine="420"/>
        <w:jc w:val="center"/>
        <w:rPr>
          <w:kern w:val="2"/>
          <w:szCs w:val="24"/>
          <w:lang w:val="en-US"/>
        </w:rPr>
      </w:pPr>
      <w:r>
        <w:rPr>
          <w:rFonts w:hint="eastAsia"/>
          <w:kern w:val="2"/>
          <w:szCs w:val="24"/>
          <w:lang w:val="en-US"/>
        </w:rPr>
        <w:t>图1</w:t>
      </w:r>
      <w:r>
        <w:rPr>
          <w:rFonts w:hint="eastAsia"/>
          <w:kern w:val="2"/>
          <w:szCs w:val="24"/>
          <w:lang w:val="en-US"/>
        </w:rPr>
        <w:tab/>
      </w:r>
      <w:r>
        <w:rPr>
          <w:rFonts w:hint="eastAsia"/>
          <w:kern w:val="2"/>
          <w:szCs w:val="24"/>
          <w:lang w:val="en-US"/>
        </w:rPr>
        <w:t>通风开口面积和可开启面积关系示意图</w:t>
      </w:r>
    </w:p>
    <w:p w14:paraId="09865E66">
      <w:pPr>
        <w:pStyle w:val="2"/>
        <w:rPr>
          <w:rFonts w:ascii="微软雅黑" w:hAnsi="微软雅黑" w:eastAsia="微软雅黑"/>
          <w:kern w:val="2"/>
        </w:rPr>
      </w:pPr>
      <w:r>
        <w:rPr>
          <w:rFonts w:hint="eastAsia" w:ascii="微软雅黑" w:hAnsi="微软雅黑" w:eastAsia="微软雅黑"/>
          <w:kern w:val="2"/>
        </w:rPr>
        <w:t>通风开口面积统计</w:t>
      </w:r>
    </w:p>
    <w:p w14:paraId="79CA9B3A">
      <w:pPr>
        <w:pStyle w:val="3"/>
        <w:ind w:firstLine="420"/>
        <w:rPr>
          <w:rFonts w:ascii="微软雅黑" w:hAnsi="微软雅黑" w:eastAsia="微软雅黑"/>
          <w:lang w:val="en-US"/>
        </w:rPr>
      </w:pPr>
      <w:r>
        <w:rPr>
          <w:rFonts w:hint="eastAsia" w:ascii="微软雅黑" w:hAnsi="微软雅黑" w:eastAsia="微软雅黑"/>
          <w:lang w:val="en-US"/>
        </w:rPr>
        <w:t>参考《绿色建筑评价技术细则》，并依据上述主要功能房间通风开口面积与地板面积比例的计算，本项目统计出每套住宅的通风开口面积与地板面积的比例，见下表</w:t>
      </w:r>
    </w:p>
    <w:p w14:paraId="1EEED7A4">
      <w:pPr>
        <w:spacing w:line="140" w:lineRule="atLeast"/>
        <w:jc w:val="center"/>
        <w:rPr>
          <w:kern w:val="2"/>
          <w:szCs w:val="24"/>
          <w:lang w:val="en-US"/>
        </w:rPr>
      </w:pPr>
      <w:r>
        <w:rPr>
          <w:rFonts w:hint="eastAsia" w:cs="Calibri"/>
          <w:color w:val="000000"/>
          <w:sz w:val="20"/>
          <w:lang w:val="en-US"/>
        </w:rPr>
        <w:t>表2  建筑主要功能房间以及每套住宅通风开口面积统计表</w:t>
      </w:r>
    </w:p>
    <w:tbl>
      <w:tblPr>
        <w:tblStyle w:val="19"/>
        <w:tblW w:w="89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0"/>
        <w:gridCol w:w="720"/>
        <w:gridCol w:w="1400"/>
        <w:gridCol w:w="1120"/>
        <w:gridCol w:w="1120"/>
        <w:gridCol w:w="1120"/>
        <w:gridCol w:w="1000"/>
        <w:gridCol w:w="1000"/>
        <w:gridCol w:w="840"/>
      </w:tblGrid>
      <w:tr w14:paraId="49FA5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2BE68D">
            <w:pPr>
              <w:rPr>
                <w:sz w:val="18"/>
                <w:szCs w:val="18"/>
              </w:rPr>
            </w:pPr>
            <w:r>
              <w:rPr>
                <w:sz w:val="18"/>
                <w:szCs w:val="18"/>
              </w:rPr>
              <w:t>层号</w:t>
            </w:r>
          </w:p>
        </w:tc>
        <w:tc>
          <w:tcPr>
            <w:shd w:val="clear" w:color="auto" w:fill="E6E6E6"/>
            <w:vAlign w:val="center"/>
          </w:tcPr>
          <w:p w14:paraId="5A5973B3">
            <w:pPr>
              <w:rPr>
                <w:sz w:val="18"/>
                <w:szCs w:val="18"/>
              </w:rPr>
            </w:pPr>
            <w:r>
              <w:rPr>
                <w:sz w:val="18"/>
                <w:szCs w:val="18"/>
              </w:rPr>
              <w:t>户型</w:t>
            </w:r>
          </w:p>
        </w:tc>
        <w:tc>
          <w:tcPr>
            <w:shd w:val="clear" w:color="auto" w:fill="E6E6E6"/>
            <w:vAlign w:val="center"/>
          </w:tcPr>
          <w:p w14:paraId="6CC56D25">
            <w:pPr>
              <w:rPr>
                <w:sz w:val="18"/>
                <w:szCs w:val="18"/>
              </w:rPr>
            </w:pPr>
            <w:r>
              <w:rPr>
                <w:sz w:val="18"/>
                <w:szCs w:val="18"/>
              </w:rPr>
              <w:t>房间</w:t>
            </w:r>
          </w:p>
        </w:tc>
        <w:tc>
          <w:tcPr>
            <w:shd w:val="clear" w:color="auto" w:fill="E6E6E6"/>
            <w:vAlign w:val="center"/>
          </w:tcPr>
          <w:p w14:paraId="5C0EF2C7">
            <w:pPr>
              <w:rPr>
                <w:sz w:val="18"/>
                <w:szCs w:val="18"/>
              </w:rPr>
            </w:pPr>
            <w:r>
              <w:rPr>
                <w:sz w:val="18"/>
                <w:szCs w:val="18"/>
              </w:rPr>
              <w:t>门窗编号</w:t>
            </w:r>
          </w:p>
        </w:tc>
        <w:tc>
          <w:tcPr>
            <w:shd w:val="clear" w:color="auto" w:fill="E6E6E6"/>
            <w:vAlign w:val="center"/>
          </w:tcPr>
          <w:p w14:paraId="485CE681">
            <w:pPr>
              <w:rPr>
                <w:sz w:val="18"/>
                <w:szCs w:val="18"/>
              </w:rPr>
            </w:pPr>
            <w:r>
              <w:rPr>
                <w:sz w:val="18"/>
                <w:szCs w:val="18"/>
              </w:rPr>
              <w:t>门窗类型</w:t>
            </w:r>
          </w:p>
        </w:tc>
        <w:tc>
          <w:tcPr>
            <w:shd w:val="clear" w:color="auto" w:fill="E6E6E6"/>
            <w:vAlign w:val="center"/>
          </w:tcPr>
          <w:p w14:paraId="48DA6E9E">
            <w:pPr>
              <w:rPr>
                <w:sz w:val="18"/>
                <w:szCs w:val="18"/>
              </w:rPr>
            </w:pPr>
            <w:r>
              <w:rPr>
                <w:sz w:val="18"/>
                <w:szCs w:val="18"/>
              </w:rPr>
              <w:t>门窗面积(㎡)</w:t>
            </w:r>
          </w:p>
        </w:tc>
        <w:tc>
          <w:tcPr>
            <w:shd w:val="clear" w:color="auto" w:fill="E6E6E6"/>
            <w:vAlign w:val="center"/>
          </w:tcPr>
          <w:p w14:paraId="6BC2657C">
            <w:pPr>
              <w:rPr>
                <w:sz w:val="18"/>
                <w:szCs w:val="18"/>
              </w:rPr>
            </w:pPr>
            <w:r>
              <w:rPr>
                <w:sz w:val="18"/>
                <w:szCs w:val="18"/>
              </w:rPr>
              <w:t>通风开口面积(㎡)</w:t>
            </w:r>
          </w:p>
        </w:tc>
        <w:tc>
          <w:tcPr>
            <w:shd w:val="clear" w:color="auto" w:fill="E6E6E6"/>
            <w:vAlign w:val="center"/>
          </w:tcPr>
          <w:p w14:paraId="4A991627">
            <w:pPr>
              <w:rPr>
                <w:sz w:val="18"/>
                <w:szCs w:val="18"/>
              </w:rPr>
            </w:pPr>
            <w:r>
              <w:rPr>
                <w:sz w:val="18"/>
                <w:szCs w:val="18"/>
              </w:rPr>
              <w:t>地板面积(㎡)</w:t>
            </w:r>
          </w:p>
        </w:tc>
        <w:tc>
          <w:tcPr>
            <w:shd w:val="clear" w:color="auto" w:fill="E6E6E6"/>
            <w:vAlign w:val="center"/>
          </w:tcPr>
          <w:p w14:paraId="79646F1A">
            <w:pPr>
              <w:rPr>
                <w:sz w:val="18"/>
                <w:szCs w:val="18"/>
              </w:rPr>
            </w:pPr>
            <w:r>
              <w:rPr>
                <w:sz w:val="18"/>
                <w:szCs w:val="18"/>
              </w:rPr>
              <w:t>开地比(%)</w:t>
            </w:r>
          </w:p>
        </w:tc>
      </w:tr>
      <w:tr w14:paraId="4511B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9174F6F">
            <w:pPr>
              <w:rPr>
                <w:sz w:val="18"/>
                <w:szCs w:val="18"/>
              </w:rPr>
            </w:pPr>
            <w:r>
              <w:rPr>
                <w:sz w:val="18"/>
                <w:szCs w:val="18"/>
              </w:rPr>
              <w:t>1层</w:t>
            </w:r>
          </w:p>
        </w:tc>
        <w:tc>
          <w:tcPr>
            <w:vMerge w:val="restart"/>
            <w:vAlign w:val="center"/>
          </w:tcPr>
          <w:p w14:paraId="696C73AB">
            <w:pPr>
              <w:rPr>
                <w:sz w:val="18"/>
                <w:szCs w:val="18"/>
              </w:rPr>
            </w:pPr>
            <w:r>
              <w:rPr>
                <w:sz w:val="18"/>
                <w:szCs w:val="18"/>
              </w:rPr>
              <w:t>1-A</w:t>
            </w:r>
          </w:p>
        </w:tc>
        <w:tc>
          <w:tcPr>
            <w:vMerge w:val="restart"/>
            <w:vAlign w:val="center"/>
          </w:tcPr>
          <w:p w14:paraId="570C5014">
            <w:pPr>
              <w:rPr>
                <w:sz w:val="18"/>
                <w:szCs w:val="18"/>
              </w:rPr>
            </w:pPr>
            <w:r>
              <w:rPr>
                <w:sz w:val="18"/>
                <w:szCs w:val="18"/>
              </w:rPr>
              <w:t>1001[卧室]</w:t>
            </w:r>
          </w:p>
        </w:tc>
        <w:tc>
          <w:tcPr>
            <w:vAlign w:val="center"/>
          </w:tcPr>
          <w:p w14:paraId="48F9415B">
            <w:pPr>
              <w:rPr>
                <w:sz w:val="18"/>
                <w:szCs w:val="18"/>
              </w:rPr>
            </w:pPr>
            <w:r>
              <w:rPr>
                <w:sz w:val="18"/>
                <w:szCs w:val="18"/>
              </w:rPr>
              <w:t>C3024</w:t>
            </w:r>
          </w:p>
        </w:tc>
        <w:tc>
          <w:tcPr>
            <w:vAlign w:val="center"/>
          </w:tcPr>
          <w:p w14:paraId="1C2A5C52">
            <w:pPr>
              <w:rPr>
                <w:sz w:val="18"/>
                <w:szCs w:val="18"/>
              </w:rPr>
            </w:pPr>
            <w:r>
              <w:rPr>
                <w:sz w:val="18"/>
                <w:szCs w:val="18"/>
              </w:rPr>
              <w:t>平开窗-左合页</w:t>
            </w:r>
          </w:p>
        </w:tc>
        <w:tc>
          <w:tcPr>
            <w:vAlign w:val="center"/>
          </w:tcPr>
          <w:p w14:paraId="320538F2">
            <w:pPr>
              <w:rPr>
                <w:sz w:val="18"/>
                <w:szCs w:val="18"/>
              </w:rPr>
            </w:pPr>
            <w:r>
              <w:rPr>
                <w:sz w:val="18"/>
                <w:szCs w:val="18"/>
              </w:rPr>
              <w:t>7.20</w:t>
            </w:r>
          </w:p>
        </w:tc>
        <w:tc>
          <w:tcPr>
            <w:vMerge w:val="restart"/>
            <w:vAlign w:val="center"/>
          </w:tcPr>
          <w:p w14:paraId="4CF9EF2C">
            <w:pPr>
              <w:rPr>
                <w:sz w:val="18"/>
                <w:szCs w:val="18"/>
              </w:rPr>
            </w:pPr>
            <w:r>
              <w:rPr>
                <w:sz w:val="18"/>
                <w:szCs w:val="18"/>
              </w:rPr>
              <w:t>18.60</w:t>
            </w:r>
          </w:p>
        </w:tc>
        <w:tc>
          <w:tcPr>
            <w:vMerge w:val="restart"/>
            <w:vAlign w:val="center"/>
          </w:tcPr>
          <w:p w14:paraId="52DE40F1">
            <w:pPr>
              <w:rPr>
                <w:sz w:val="18"/>
                <w:szCs w:val="18"/>
              </w:rPr>
            </w:pPr>
            <w:r>
              <w:rPr>
                <w:sz w:val="18"/>
                <w:szCs w:val="18"/>
              </w:rPr>
              <w:t>65.82</w:t>
            </w:r>
          </w:p>
        </w:tc>
        <w:tc>
          <w:tcPr>
            <w:vMerge w:val="restart"/>
            <w:vAlign w:val="center"/>
          </w:tcPr>
          <w:p w14:paraId="297C10BD">
            <w:pPr>
              <w:rPr>
                <w:sz w:val="18"/>
                <w:szCs w:val="18"/>
              </w:rPr>
            </w:pPr>
            <w:r>
              <w:rPr>
                <w:sz w:val="18"/>
                <w:szCs w:val="18"/>
              </w:rPr>
              <w:t>28.26</w:t>
            </w:r>
          </w:p>
        </w:tc>
      </w:tr>
      <w:tr w14:paraId="7C7A8B0E">
        <w:tblPrEx>
          <w:tblCellMar>
            <w:top w:w="0" w:type="dxa"/>
            <w:left w:w="108" w:type="dxa"/>
            <w:bottom w:w="0" w:type="dxa"/>
            <w:right w:w="108" w:type="dxa"/>
          </w:tblCellMar>
        </w:tblPrEx>
        <w:tc>
          <w:tcPr>
            <w:vMerge w:val="continue"/>
            <w:vAlign w:val="center"/>
          </w:tcPr>
          <w:p w14:paraId="79C839EE">
            <w:pPr>
              <w:rPr>
                <w:sz w:val="18"/>
                <w:szCs w:val="18"/>
              </w:rPr>
            </w:pPr>
          </w:p>
        </w:tc>
        <w:tc>
          <w:tcPr>
            <w:vMerge w:val="continue"/>
            <w:vAlign w:val="center"/>
          </w:tcPr>
          <w:p w14:paraId="50AD2258">
            <w:pPr>
              <w:rPr>
                <w:sz w:val="18"/>
                <w:szCs w:val="18"/>
              </w:rPr>
            </w:pPr>
          </w:p>
        </w:tc>
        <w:tc>
          <w:tcPr>
            <w:vMerge w:val="continue"/>
            <w:vAlign w:val="center"/>
          </w:tcPr>
          <w:p w14:paraId="5ACC61FC">
            <w:pPr>
              <w:rPr>
                <w:sz w:val="18"/>
                <w:szCs w:val="18"/>
              </w:rPr>
            </w:pPr>
          </w:p>
        </w:tc>
        <w:tc>
          <w:tcPr>
            <w:vAlign w:val="center"/>
          </w:tcPr>
          <w:p w14:paraId="0D47BD3F">
            <w:pPr>
              <w:rPr>
                <w:sz w:val="18"/>
                <w:szCs w:val="18"/>
              </w:rPr>
            </w:pPr>
            <w:r>
              <w:rPr>
                <w:sz w:val="18"/>
                <w:szCs w:val="18"/>
              </w:rPr>
              <w:t>C4520</w:t>
            </w:r>
          </w:p>
        </w:tc>
        <w:tc>
          <w:tcPr>
            <w:vAlign w:val="center"/>
          </w:tcPr>
          <w:p w14:paraId="753182CB">
            <w:pPr>
              <w:rPr>
                <w:sz w:val="18"/>
                <w:szCs w:val="18"/>
              </w:rPr>
            </w:pPr>
            <w:r>
              <w:rPr>
                <w:sz w:val="18"/>
                <w:szCs w:val="18"/>
              </w:rPr>
              <w:t>平开窗-左合页</w:t>
            </w:r>
          </w:p>
        </w:tc>
        <w:tc>
          <w:tcPr>
            <w:vAlign w:val="center"/>
          </w:tcPr>
          <w:p w14:paraId="7FB9D646">
            <w:pPr>
              <w:rPr>
                <w:sz w:val="18"/>
                <w:szCs w:val="18"/>
              </w:rPr>
            </w:pPr>
            <w:r>
              <w:rPr>
                <w:sz w:val="18"/>
                <w:szCs w:val="18"/>
              </w:rPr>
              <w:t>9.00</w:t>
            </w:r>
          </w:p>
        </w:tc>
        <w:tc>
          <w:tcPr>
            <w:vMerge w:val="continue"/>
            <w:vAlign w:val="center"/>
          </w:tcPr>
          <w:p w14:paraId="305E2922">
            <w:pPr>
              <w:rPr>
                <w:sz w:val="18"/>
                <w:szCs w:val="18"/>
              </w:rPr>
            </w:pPr>
          </w:p>
        </w:tc>
        <w:tc>
          <w:tcPr>
            <w:vMerge w:val="continue"/>
            <w:vAlign w:val="center"/>
          </w:tcPr>
          <w:p w14:paraId="4BAA3B30">
            <w:pPr>
              <w:rPr>
                <w:sz w:val="18"/>
                <w:szCs w:val="18"/>
              </w:rPr>
            </w:pPr>
          </w:p>
        </w:tc>
        <w:tc>
          <w:tcPr>
            <w:vMerge w:val="continue"/>
            <w:vAlign w:val="center"/>
          </w:tcPr>
          <w:p w14:paraId="3C7FAECD">
            <w:pPr>
              <w:rPr>
                <w:sz w:val="18"/>
                <w:szCs w:val="18"/>
              </w:rPr>
            </w:pPr>
          </w:p>
        </w:tc>
      </w:tr>
      <w:tr w14:paraId="0C4E2B9B">
        <w:tblPrEx>
          <w:tblCellMar>
            <w:top w:w="0" w:type="dxa"/>
            <w:left w:w="108" w:type="dxa"/>
            <w:bottom w:w="0" w:type="dxa"/>
            <w:right w:w="108" w:type="dxa"/>
          </w:tblCellMar>
        </w:tblPrEx>
        <w:tc>
          <w:tcPr>
            <w:vMerge w:val="continue"/>
            <w:vAlign w:val="center"/>
          </w:tcPr>
          <w:p w14:paraId="2857106A">
            <w:pPr>
              <w:rPr>
                <w:sz w:val="18"/>
                <w:szCs w:val="18"/>
              </w:rPr>
            </w:pPr>
          </w:p>
        </w:tc>
        <w:tc>
          <w:tcPr>
            <w:vMerge w:val="continue"/>
            <w:vAlign w:val="center"/>
          </w:tcPr>
          <w:p w14:paraId="6C5418BC">
            <w:pPr>
              <w:rPr>
                <w:sz w:val="18"/>
                <w:szCs w:val="18"/>
              </w:rPr>
            </w:pPr>
          </w:p>
        </w:tc>
        <w:tc>
          <w:tcPr>
            <w:vMerge w:val="continue"/>
            <w:vAlign w:val="center"/>
          </w:tcPr>
          <w:p w14:paraId="17540DFF">
            <w:pPr>
              <w:rPr>
                <w:sz w:val="18"/>
                <w:szCs w:val="18"/>
              </w:rPr>
            </w:pPr>
          </w:p>
        </w:tc>
        <w:tc>
          <w:tcPr>
            <w:vAlign w:val="center"/>
          </w:tcPr>
          <w:p w14:paraId="786C3801">
            <w:pPr>
              <w:rPr>
                <w:sz w:val="18"/>
                <w:szCs w:val="18"/>
              </w:rPr>
            </w:pPr>
            <w:r>
              <w:rPr>
                <w:sz w:val="18"/>
                <w:szCs w:val="18"/>
              </w:rPr>
              <w:t>M1024</w:t>
            </w:r>
          </w:p>
        </w:tc>
        <w:tc>
          <w:tcPr>
            <w:vAlign w:val="center"/>
          </w:tcPr>
          <w:p w14:paraId="138653ED">
            <w:pPr>
              <w:rPr>
                <w:sz w:val="18"/>
                <w:szCs w:val="18"/>
              </w:rPr>
            </w:pPr>
            <w:r>
              <w:rPr>
                <w:sz w:val="18"/>
                <w:szCs w:val="18"/>
              </w:rPr>
              <w:t>平开窗-左合页</w:t>
            </w:r>
          </w:p>
        </w:tc>
        <w:tc>
          <w:tcPr>
            <w:vAlign w:val="center"/>
          </w:tcPr>
          <w:p w14:paraId="222D887C">
            <w:pPr>
              <w:rPr>
                <w:sz w:val="18"/>
                <w:szCs w:val="18"/>
              </w:rPr>
            </w:pPr>
            <w:r>
              <w:rPr>
                <w:sz w:val="18"/>
                <w:szCs w:val="18"/>
              </w:rPr>
              <w:t>2.40</w:t>
            </w:r>
          </w:p>
        </w:tc>
        <w:tc>
          <w:tcPr>
            <w:vMerge w:val="continue"/>
            <w:vAlign w:val="center"/>
          </w:tcPr>
          <w:p w14:paraId="1930CCE0">
            <w:pPr>
              <w:rPr>
                <w:sz w:val="18"/>
                <w:szCs w:val="18"/>
              </w:rPr>
            </w:pPr>
          </w:p>
        </w:tc>
        <w:tc>
          <w:tcPr>
            <w:vMerge w:val="continue"/>
            <w:vAlign w:val="center"/>
          </w:tcPr>
          <w:p w14:paraId="5F048CCB">
            <w:pPr>
              <w:rPr>
                <w:sz w:val="18"/>
                <w:szCs w:val="18"/>
              </w:rPr>
            </w:pPr>
          </w:p>
        </w:tc>
        <w:tc>
          <w:tcPr>
            <w:vMerge w:val="continue"/>
            <w:vAlign w:val="center"/>
          </w:tcPr>
          <w:p w14:paraId="744A4CDD">
            <w:pPr>
              <w:rPr>
                <w:sz w:val="18"/>
                <w:szCs w:val="18"/>
              </w:rPr>
            </w:pPr>
          </w:p>
        </w:tc>
      </w:tr>
      <w:tr w14:paraId="092B1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FAF8A6">
            <w:pPr>
              <w:rPr>
                <w:sz w:val="18"/>
                <w:szCs w:val="18"/>
              </w:rPr>
            </w:pPr>
          </w:p>
        </w:tc>
        <w:tc>
          <w:tcPr>
            <w:vMerge w:val="continue"/>
            <w:vAlign w:val="center"/>
          </w:tcPr>
          <w:p w14:paraId="4DB18B77">
            <w:pPr>
              <w:rPr>
                <w:sz w:val="18"/>
                <w:szCs w:val="18"/>
              </w:rPr>
            </w:pPr>
          </w:p>
        </w:tc>
        <w:tc>
          <w:tcPr>
            <w:vMerge w:val="restart"/>
            <w:vAlign w:val="center"/>
          </w:tcPr>
          <w:p w14:paraId="4D54DBFC">
            <w:pPr>
              <w:rPr>
                <w:sz w:val="18"/>
                <w:szCs w:val="18"/>
              </w:rPr>
            </w:pPr>
            <w:r>
              <w:rPr>
                <w:sz w:val="18"/>
                <w:szCs w:val="18"/>
              </w:rPr>
              <w:t>1003[卧室]</w:t>
            </w:r>
          </w:p>
        </w:tc>
        <w:tc>
          <w:tcPr>
            <w:vAlign w:val="center"/>
          </w:tcPr>
          <w:p w14:paraId="34F982AA">
            <w:pPr>
              <w:rPr>
                <w:sz w:val="18"/>
                <w:szCs w:val="18"/>
              </w:rPr>
            </w:pPr>
            <w:r>
              <w:rPr>
                <w:sz w:val="18"/>
                <w:szCs w:val="18"/>
              </w:rPr>
              <w:t>C3515</w:t>
            </w:r>
          </w:p>
        </w:tc>
        <w:tc>
          <w:tcPr>
            <w:vAlign w:val="center"/>
          </w:tcPr>
          <w:p w14:paraId="205D6566">
            <w:pPr>
              <w:rPr>
                <w:sz w:val="18"/>
                <w:szCs w:val="18"/>
              </w:rPr>
            </w:pPr>
            <w:r>
              <w:rPr>
                <w:sz w:val="18"/>
                <w:szCs w:val="18"/>
              </w:rPr>
              <w:t>平开窗-左合页</w:t>
            </w:r>
          </w:p>
        </w:tc>
        <w:tc>
          <w:tcPr>
            <w:vAlign w:val="center"/>
          </w:tcPr>
          <w:p w14:paraId="18080C0E">
            <w:pPr>
              <w:rPr>
                <w:sz w:val="18"/>
                <w:szCs w:val="18"/>
              </w:rPr>
            </w:pPr>
            <w:r>
              <w:rPr>
                <w:sz w:val="18"/>
                <w:szCs w:val="18"/>
              </w:rPr>
              <w:t>5.25</w:t>
            </w:r>
          </w:p>
        </w:tc>
        <w:tc>
          <w:tcPr>
            <w:vMerge w:val="restart"/>
            <w:vAlign w:val="center"/>
          </w:tcPr>
          <w:p w14:paraId="4923D8F5">
            <w:pPr>
              <w:rPr>
                <w:sz w:val="18"/>
                <w:szCs w:val="18"/>
              </w:rPr>
            </w:pPr>
            <w:r>
              <w:rPr>
                <w:sz w:val="18"/>
                <w:szCs w:val="18"/>
              </w:rPr>
              <w:t>15.05</w:t>
            </w:r>
          </w:p>
        </w:tc>
        <w:tc>
          <w:tcPr>
            <w:vMerge w:val="restart"/>
            <w:vAlign w:val="center"/>
          </w:tcPr>
          <w:p w14:paraId="7232743B">
            <w:pPr>
              <w:rPr>
                <w:sz w:val="18"/>
                <w:szCs w:val="18"/>
              </w:rPr>
            </w:pPr>
            <w:r>
              <w:rPr>
                <w:sz w:val="18"/>
                <w:szCs w:val="18"/>
              </w:rPr>
              <w:t>70.00</w:t>
            </w:r>
          </w:p>
        </w:tc>
        <w:tc>
          <w:tcPr>
            <w:vMerge w:val="restart"/>
            <w:vAlign w:val="center"/>
          </w:tcPr>
          <w:p w14:paraId="7468F897">
            <w:pPr>
              <w:rPr>
                <w:sz w:val="18"/>
                <w:szCs w:val="18"/>
              </w:rPr>
            </w:pPr>
            <w:r>
              <w:rPr>
                <w:sz w:val="18"/>
                <w:szCs w:val="18"/>
              </w:rPr>
              <w:t>21.50</w:t>
            </w:r>
          </w:p>
        </w:tc>
      </w:tr>
      <w:tr w14:paraId="3242AEF0">
        <w:tblPrEx>
          <w:tblCellMar>
            <w:top w:w="0" w:type="dxa"/>
            <w:left w:w="108" w:type="dxa"/>
            <w:bottom w:w="0" w:type="dxa"/>
            <w:right w:w="108" w:type="dxa"/>
          </w:tblCellMar>
        </w:tblPrEx>
        <w:tc>
          <w:tcPr>
            <w:vMerge w:val="continue"/>
            <w:vAlign w:val="center"/>
          </w:tcPr>
          <w:p w14:paraId="78D7068F">
            <w:pPr>
              <w:rPr>
                <w:sz w:val="18"/>
                <w:szCs w:val="18"/>
              </w:rPr>
            </w:pPr>
          </w:p>
        </w:tc>
        <w:tc>
          <w:tcPr>
            <w:vMerge w:val="continue"/>
            <w:vAlign w:val="center"/>
          </w:tcPr>
          <w:p w14:paraId="1AB7742A">
            <w:pPr>
              <w:rPr>
                <w:sz w:val="18"/>
                <w:szCs w:val="18"/>
              </w:rPr>
            </w:pPr>
          </w:p>
        </w:tc>
        <w:tc>
          <w:tcPr>
            <w:vMerge w:val="continue"/>
            <w:vAlign w:val="center"/>
          </w:tcPr>
          <w:p w14:paraId="50AB5557">
            <w:pPr>
              <w:rPr>
                <w:sz w:val="18"/>
                <w:szCs w:val="18"/>
              </w:rPr>
            </w:pPr>
          </w:p>
        </w:tc>
        <w:tc>
          <w:tcPr>
            <w:vAlign w:val="center"/>
          </w:tcPr>
          <w:p w14:paraId="61680F07">
            <w:pPr>
              <w:rPr>
                <w:sz w:val="18"/>
                <w:szCs w:val="18"/>
              </w:rPr>
            </w:pPr>
            <w:r>
              <w:rPr>
                <w:sz w:val="18"/>
                <w:szCs w:val="18"/>
              </w:rPr>
              <w:t>C3528</w:t>
            </w:r>
          </w:p>
        </w:tc>
        <w:tc>
          <w:tcPr>
            <w:vAlign w:val="center"/>
          </w:tcPr>
          <w:p w14:paraId="3C2693F5">
            <w:pPr>
              <w:rPr>
                <w:sz w:val="18"/>
                <w:szCs w:val="18"/>
              </w:rPr>
            </w:pPr>
            <w:r>
              <w:rPr>
                <w:sz w:val="18"/>
                <w:szCs w:val="18"/>
              </w:rPr>
              <w:t>平开窗-左合页</w:t>
            </w:r>
          </w:p>
        </w:tc>
        <w:tc>
          <w:tcPr>
            <w:vAlign w:val="center"/>
          </w:tcPr>
          <w:p w14:paraId="47A186E3">
            <w:pPr>
              <w:rPr>
                <w:sz w:val="18"/>
                <w:szCs w:val="18"/>
              </w:rPr>
            </w:pPr>
            <w:r>
              <w:rPr>
                <w:sz w:val="18"/>
                <w:szCs w:val="18"/>
              </w:rPr>
              <w:t>9.80</w:t>
            </w:r>
          </w:p>
        </w:tc>
        <w:tc>
          <w:tcPr>
            <w:vMerge w:val="continue"/>
            <w:vAlign w:val="center"/>
          </w:tcPr>
          <w:p w14:paraId="55C96157">
            <w:pPr>
              <w:rPr>
                <w:sz w:val="18"/>
                <w:szCs w:val="18"/>
              </w:rPr>
            </w:pPr>
          </w:p>
        </w:tc>
        <w:tc>
          <w:tcPr>
            <w:vMerge w:val="continue"/>
            <w:vAlign w:val="center"/>
          </w:tcPr>
          <w:p w14:paraId="4F447F80">
            <w:pPr>
              <w:rPr>
                <w:sz w:val="18"/>
                <w:szCs w:val="18"/>
              </w:rPr>
            </w:pPr>
          </w:p>
        </w:tc>
        <w:tc>
          <w:tcPr>
            <w:vMerge w:val="continue"/>
            <w:vAlign w:val="center"/>
          </w:tcPr>
          <w:p w14:paraId="6C2C1FB2">
            <w:pPr>
              <w:rPr>
                <w:sz w:val="18"/>
                <w:szCs w:val="18"/>
              </w:rPr>
            </w:pPr>
          </w:p>
        </w:tc>
      </w:tr>
      <w:tr w14:paraId="3BD6F8FC">
        <w:tblPrEx>
          <w:tblCellMar>
            <w:top w:w="0" w:type="dxa"/>
            <w:left w:w="108" w:type="dxa"/>
            <w:bottom w:w="0" w:type="dxa"/>
            <w:right w:w="108" w:type="dxa"/>
          </w:tblCellMar>
        </w:tblPrEx>
        <w:tc>
          <w:tcPr>
            <w:vMerge w:val="continue"/>
            <w:vAlign w:val="center"/>
          </w:tcPr>
          <w:p w14:paraId="1AD1C74E">
            <w:pPr>
              <w:rPr>
                <w:sz w:val="18"/>
                <w:szCs w:val="18"/>
              </w:rPr>
            </w:pPr>
          </w:p>
        </w:tc>
        <w:tc>
          <w:tcPr>
            <w:vMerge w:val="continue"/>
            <w:vAlign w:val="center"/>
          </w:tcPr>
          <w:p w14:paraId="71F01CF5">
            <w:pPr>
              <w:rPr>
                <w:sz w:val="18"/>
                <w:szCs w:val="18"/>
              </w:rPr>
            </w:pPr>
          </w:p>
        </w:tc>
        <w:tc>
          <w:tcPr>
            <w:vAlign w:val="center"/>
          </w:tcPr>
          <w:p w14:paraId="62F8AB0A">
            <w:pPr>
              <w:rPr>
                <w:sz w:val="18"/>
                <w:szCs w:val="18"/>
              </w:rPr>
            </w:pPr>
            <w:r>
              <w:rPr>
                <w:sz w:val="18"/>
                <w:szCs w:val="18"/>
              </w:rPr>
              <w:t>1005[餐厅]</w:t>
            </w:r>
          </w:p>
        </w:tc>
        <w:tc>
          <w:tcPr>
            <w:vAlign w:val="center"/>
          </w:tcPr>
          <w:p w14:paraId="5C3022CE">
            <w:pPr>
              <w:rPr>
                <w:sz w:val="18"/>
                <w:szCs w:val="18"/>
              </w:rPr>
            </w:pPr>
            <w:r>
              <w:rPr>
                <w:sz w:val="18"/>
                <w:szCs w:val="18"/>
              </w:rPr>
              <w:t>C2614</w:t>
            </w:r>
          </w:p>
        </w:tc>
        <w:tc>
          <w:tcPr>
            <w:vAlign w:val="center"/>
          </w:tcPr>
          <w:p w14:paraId="1D8B74CF">
            <w:pPr>
              <w:rPr>
                <w:sz w:val="18"/>
                <w:szCs w:val="18"/>
              </w:rPr>
            </w:pPr>
            <w:r>
              <w:rPr>
                <w:sz w:val="18"/>
                <w:szCs w:val="18"/>
              </w:rPr>
              <w:t>平开窗-左合页</w:t>
            </w:r>
          </w:p>
        </w:tc>
        <w:tc>
          <w:tcPr>
            <w:vAlign w:val="center"/>
          </w:tcPr>
          <w:p w14:paraId="0F6B5AC4">
            <w:pPr>
              <w:rPr>
                <w:sz w:val="18"/>
                <w:szCs w:val="18"/>
              </w:rPr>
            </w:pPr>
            <w:r>
              <w:rPr>
                <w:sz w:val="18"/>
                <w:szCs w:val="18"/>
              </w:rPr>
              <w:t>3.64</w:t>
            </w:r>
          </w:p>
        </w:tc>
        <w:tc>
          <w:tcPr>
            <w:vAlign w:val="center"/>
          </w:tcPr>
          <w:p w14:paraId="4A86A334">
            <w:pPr>
              <w:rPr>
                <w:sz w:val="18"/>
                <w:szCs w:val="18"/>
              </w:rPr>
            </w:pPr>
            <w:r>
              <w:rPr>
                <w:sz w:val="18"/>
                <w:szCs w:val="18"/>
              </w:rPr>
              <w:t>3.64</w:t>
            </w:r>
          </w:p>
        </w:tc>
        <w:tc>
          <w:tcPr>
            <w:vAlign w:val="center"/>
          </w:tcPr>
          <w:p w14:paraId="61B2BD18">
            <w:pPr>
              <w:rPr>
                <w:sz w:val="18"/>
                <w:szCs w:val="18"/>
              </w:rPr>
            </w:pPr>
            <w:r>
              <w:rPr>
                <w:sz w:val="18"/>
                <w:szCs w:val="18"/>
              </w:rPr>
              <w:t>64.97</w:t>
            </w:r>
          </w:p>
        </w:tc>
        <w:tc>
          <w:tcPr>
            <w:vAlign w:val="center"/>
          </w:tcPr>
          <w:p w14:paraId="483BD46D">
            <w:pPr>
              <w:rPr>
                <w:sz w:val="18"/>
                <w:szCs w:val="18"/>
              </w:rPr>
            </w:pPr>
            <w:r>
              <w:rPr>
                <w:sz w:val="18"/>
                <w:szCs w:val="18"/>
              </w:rPr>
              <w:t>5.60</w:t>
            </w:r>
          </w:p>
        </w:tc>
      </w:tr>
      <w:tr w14:paraId="31CF8CFE">
        <w:tblPrEx>
          <w:tblCellMar>
            <w:top w:w="0" w:type="dxa"/>
            <w:left w:w="108" w:type="dxa"/>
            <w:bottom w:w="0" w:type="dxa"/>
            <w:right w:w="108" w:type="dxa"/>
          </w:tblCellMar>
        </w:tblPrEx>
        <w:tc>
          <w:tcPr>
            <w:vMerge w:val="continue"/>
            <w:vAlign w:val="center"/>
          </w:tcPr>
          <w:p w14:paraId="0F2A0BF5">
            <w:pPr>
              <w:rPr>
                <w:sz w:val="18"/>
                <w:szCs w:val="18"/>
              </w:rPr>
            </w:pPr>
          </w:p>
        </w:tc>
        <w:tc>
          <w:tcPr>
            <w:vMerge w:val="continue"/>
            <w:vAlign w:val="center"/>
          </w:tcPr>
          <w:p w14:paraId="28F9D2EE">
            <w:pPr>
              <w:rPr>
                <w:sz w:val="18"/>
                <w:szCs w:val="18"/>
              </w:rPr>
            </w:pPr>
          </w:p>
        </w:tc>
        <w:tc>
          <w:tcPr>
            <w:vAlign w:val="center"/>
          </w:tcPr>
          <w:p w14:paraId="1C8D322D">
            <w:pPr>
              <w:rPr>
                <w:sz w:val="18"/>
                <w:szCs w:val="18"/>
              </w:rPr>
            </w:pPr>
            <w:r>
              <w:rPr>
                <w:sz w:val="18"/>
                <w:szCs w:val="18"/>
              </w:rPr>
              <w:t>1006[厨房]</w:t>
            </w:r>
          </w:p>
        </w:tc>
        <w:tc>
          <w:tcPr>
            <w:vAlign w:val="center"/>
          </w:tcPr>
          <w:p w14:paraId="360CE715">
            <w:pPr>
              <w:rPr>
                <w:sz w:val="18"/>
                <w:szCs w:val="18"/>
              </w:rPr>
            </w:pPr>
            <w:r>
              <w:rPr>
                <w:sz w:val="18"/>
                <w:szCs w:val="18"/>
              </w:rPr>
              <w:t>C2614</w:t>
            </w:r>
          </w:p>
        </w:tc>
        <w:tc>
          <w:tcPr>
            <w:vAlign w:val="center"/>
          </w:tcPr>
          <w:p w14:paraId="1D683A5A">
            <w:pPr>
              <w:rPr>
                <w:sz w:val="18"/>
                <w:szCs w:val="18"/>
              </w:rPr>
            </w:pPr>
            <w:r>
              <w:rPr>
                <w:sz w:val="18"/>
                <w:szCs w:val="18"/>
              </w:rPr>
              <w:t>平开窗-左合页</w:t>
            </w:r>
          </w:p>
        </w:tc>
        <w:tc>
          <w:tcPr>
            <w:vAlign w:val="center"/>
          </w:tcPr>
          <w:p w14:paraId="47D98B70">
            <w:pPr>
              <w:rPr>
                <w:sz w:val="18"/>
                <w:szCs w:val="18"/>
              </w:rPr>
            </w:pPr>
            <w:r>
              <w:rPr>
                <w:sz w:val="18"/>
                <w:szCs w:val="18"/>
              </w:rPr>
              <w:t>3.64</w:t>
            </w:r>
          </w:p>
        </w:tc>
        <w:tc>
          <w:tcPr>
            <w:vAlign w:val="center"/>
          </w:tcPr>
          <w:p w14:paraId="11EBA9AD">
            <w:pPr>
              <w:rPr>
                <w:sz w:val="18"/>
                <w:szCs w:val="18"/>
              </w:rPr>
            </w:pPr>
            <w:r>
              <w:rPr>
                <w:sz w:val="18"/>
                <w:szCs w:val="18"/>
              </w:rPr>
              <w:t>3.64</w:t>
            </w:r>
          </w:p>
        </w:tc>
        <w:tc>
          <w:tcPr>
            <w:vAlign w:val="center"/>
          </w:tcPr>
          <w:p w14:paraId="676E0270">
            <w:pPr>
              <w:rPr>
                <w:sz w:val="18"/>
                <w:szCs w:val="18"/>
              </w:rPr>
            </w:pPr>
            <w:r>
              <w:rPr>
                <w:sz w:val="18"/>
                <w:szCs w:val="18"/>
              </w:rPr>
              <w:t>42.34</w:t>
            </w:r>
          </w:p>
        </w:tc>
        <w:tc>
          <w:tcPr>
            <w:vAlign w:val="center"/>
          </w:tcPr>
          <w:p w14:paraId="64ED92BF">
            <w:pPr>
              <w:rPr>
                <w:sz w:val="18"/>
                <w:szCs w:val="18"/>
              </w:rPr>
            </w:pPr>
            <w:r>
              <w:rPr>
                <w:sz w:val="18"/>
                <w:szCs w:val="18"/>
              </w:rPr>
              <w:t>8.60</w:t>
            </w:r>
          </w:p>
        </w:tc>
      </w:tr>
      <w:tr w14:paraId="3476B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556D58">
            <w:pPr>
              <w:rPr>
                <w:sz w:val="18"/>
                <w:szCs w:val="18"/>
              </w:rPr>
            </w:pPr>
          </w:p>
        </w:tc>
        <w:tc>
          <w:tcPr>
            <w:vMerge w:val="continue"/>
            <w:vAlign w:val="center"/>
          </w:tcPr>
          <w:p w14:paraId="29139E6B">
            <w:pPr>
              <w:rPr>
                <w:sz w:val="18"/>
                <w:szCs w:val="18"/>
              </w:rPr>
            </w:pPr>
          </w:p>
        </w:tc>
        <w:tc>
          <w:tcPr>
            <w:vMerge w:val="restart"/>
            <w:vAlign w:val="center"/>
          </w:tcPr>
          <w:p w14:paraId="1ADE30F2">
            <w:pPr>
              <w:rPr>
                <w:sz w:val="18"/>
                <w:szCs w:val="18"/>
              </w:rPr>
            </w:pPr>
            <w:r>
              <w:rPr>
                <w:sz w:val="18"/>
                <w:szCs w:val="18"/>
              </w:rPr>
              <w:t>1008[卧室]</w:t>
            </w:r>
          </w:p>
        </w:tc>
        <w:tc>
          <w:tcPr>
            <w:vAlign w:val="center"/>
          </w:tcPr>
          <w:p w14:paraId="47A5780C">
            <w:pPr>
              <w:rPr>
                <w:sz w:val="18"/>
                <w:szCs w:val="18"/>
              </w:rPr>
            </w:pPr>
            <w:r>
              <w:rPr>
                <w:sz w:val="18"/>
                <w:szCs w:val="18"/>
              </w:rPr>
              <w:t>C2518</w:t>
            </w:r>
          </w:p>
        </w:tc>
        <w:tc>
          <w:tcPr>
            <w:vAlign w:val="center"/>
          </w:tcPr>
          <w:p w14:paraId="6D9FF297">
            <w:pPr>
              <w:rPr>
                <w:sz w:val="18"/>
                <w:szCs w:val="18"/>
              </w:rPr>
            </w:pPr>
            <w:r>
              <w:rPr>
                <w:sz w:val="18"/>
                <w:szCs w:val="18"/>
              </w:rPr>
              <w:t>平开窗-左合页</w:t>
            </w:r>
          </w:p>
        </w:tc>
        <w:tc>
          <w:tcPr>
            <w:vAlign w:val="center"/>
          </w:tcPr>
          <w:p w14:paraId="7302D18E">
            <w:pPr>
              <w:rPr>
                <w:sz w:val="18"/>
                <w:szCs w:val="18"/>
              </w:rPr>
            </w:pPr>
            <w:r>
              <w:rPr>
                <w:sz w:val="18"/>
                <w:szCs w:val="18"/>
              </w:rPr>
              <w:t>4.50</w:t>
            </w:r>
          </w:p>
        </w:tc>
        <w:tc>
          <w:tcPr>
            <w:vMerge w:val="restart"/>
            <w:vAlign w:val="center"/>
          </w:tcPr>
          <w:p w14:paraId="116DD43D">
            <w:pPr>
              <w:rPr>
                <w:sz w:val="18"/>
                <w:szCs w:val="18"/>
              </w:rPr>
            </w:pPr>
            <w:r>
              <w:rPr>
                <w:sz w:val="18"/>
                <w:szCs w:val="18"/>
              </w:rPr>
              <w:t>8.98</w:t>
            </w:r>
          </w:p>
        </w:tc>
        <w:tc>
          <w:tcPr>
            <w:vMerge w:val="restart"/>
            <w:vAlign w:val="center"/>
          </w:tcPr>
          <w:p w14:paraId="2C4592A7">
            <w:pPr>
              <w:rPr>
                <w:sz w:val="18"/>
                <w:szCs w:val="18"/>
              </w:rPr>
            </w:pPr>
            <w:r>
              <w:rPr>
                <w:sz w:val="18"/>
                <w:szCs w:val="18"/>
              </w:rPr>
              <w:t>33.64</w:t>
            </w:r>
          </w:p>
        </w:tc>
        <w:tc>
          <w:tcPr>
            <w:vMerge w:val="restart"/>
            <w:vAlign w:val="center"/>
          </w:tcPr>
          <w:p w14:paraId="6EE843C4">
            <w:pPr>
              <w:rPr>
                <w:sz w:val="18"/>
                <w:szCs w:val="18"/>
              </w:rPr>
            </w:pPr>
            <w:r>
              <w:rPr>
                <w:sz w:val="18"/>
                <w:szCs w:val="18"/>
              </w:rPr>
              <w:t>26.69</w:t>
            </w:r>
          </w:p>
        </w:tc>
      </w:tr>
      <w:tr w14:paraId="39EA4064">
        <w:tblPrEx>
          <w:tblCellMar>
            <w:top w:w="0" w:type="dxa"/>
            <w:left w:w="108" w:type="dxa"/>
            <w:bottom w:w="0" w:type="dxa"/>
            <w:right w:w="108" w:type="dxa"/>
          </w:tblCellMar>
        </w:tblPrEx>
        <w:tc>
          <w:tcPr>
            <w:vMerge w:val="continue"/>
            <w:vAlign w:val="center"/>
          </w:tcPr>
          <w:p w14:paraId="10A11F44">
            <w:pPr>
              <w:rPr>
                <w:sz w:val="18"/>
                <w:szCs w:val="18"/>
              </w:rPr>
            </w:pPr>
          </w:p>
        </w:tc>
        <w:tc>
          <w:tcPr>
            <w:vMerge w:val="continue"/>
            <w:vAlign w:val="center"/>
          </w:tcPr>
          <w:p w14:paraId="5BE0C14B">
            <w:pPr>
              <w:rPr>
                <w:sz w:val="18"/>
                <w:szCs w:val="18"/>
              </w:rPr>
            </w:pPr>
          </w:p>
        </w:tc>
        <w:tc>
          <w:tcPr>
            <w:vMerge w:val="continue"/>
            <w:vAlign w:val="center"/>
          </w:tcPr>
          <w:p w14:paraId="248C2E07">
            <w:pPr>
              <w:rPr>
                <w:sz w:val="18"/>
                <w:szCs w:val="18"/>
              </w:rPr>
            </w:pPr>
          </w:p>
        </w:tc>
        <w:tc>
          <w:tcPr>
            <w:vAlign w:val="center"/>
          </w:tcPr>
          <w:p w14:paraId="5BF32B23">
            <w:pPr>
              <w:rPr>
                <w:sz w:val="18"/>
                <w:szCs w:val="18"/>
              </w:rPr>
            </w:pPr>
            <w:r>
              <w:rPr>
                <w:sz w:val="18"/>
                <w:szCs w:val="18"/>
              </w:rPr>
              <w:t>C3214</w:t>
            </w:r>
          </w:p>
        </w:tc>
        <w:tc>
          <w:tcPr>
            <w:vAlign w:val="center"/>
          </w:tcPr>
          <w:p w14:paraId="778D729A">
            <w:pPr>
              <w:rPr>
                <w:sz w:val="18"/>
                <w:szCs w:val="18"/>
              </w:rPr>
            </w:pPr>
            <w:r>
              <w:rPr>
                <w:sz w:val="18"/>
                <w:szCs w:val="18"/>
              </w:rPr>
              <w:t>平开窗-左合页</w:t>
            </w:r>
          </w:p>
        </w:tc>
        <w:tc>
          <w:tcPr>
            <w:vAlign w:val="center"/>
          </w:tcPr>
          <w:p w14:paraId="2FCB7132">
            <w:pPr>
              <w:rPr>
                <w:sz w:val="18"/>
                <w:szCs w:val="18"/>
              </w:rPr>
            </w:pPr>
            <w:r>
              <w:rPr>
                <w:sz w:val="18"/>
                <w:szCs w:val="18"/>
              </w:rPr>
              <w:t>4.48</w:t>
            </w:r>
          </w:p>
        </w:tc>
        <w:tc>
          <w:tcPr>
            <w:vMerge w:val="continue"/>
            <w:vAlign w:val="center"/>
          </w:tcPr>
          <w:p w14:paraId="0BFF190B">
            <w:pPr>
              <w:rPr>
                <w:sz w:val="18"/>
                <w:szCs w:val="18"/>
              </w:rPr>
            </w:pPr>
          </w:p>
        </w:tc>
        <w:tc>
          <w:tcPr>
            <w:vMerge w:val="continue"/>
            <w:vAlign w:val="center"/>
          </w:tcPr>
          <w:p w14:paraId="6AF6F232">
            <w:pPr>
              <w:rPr>
                <w:sz w:val="18"/>
                <w:szCs w:val="18"/>
              </w:rPr>
            </w:pPr>
          </w:p>
        </w:tc>
        <w:tc>
          <w:tcPr>
            <w:vMerge w:val="continue"/>
            <w:vAlign w:val="center"/>
          </w:tcPr>
          <w:p w14:paraId="0DF74AC4">
            <w:pPr>
              <w:rPr>
                <w:sz w:val="18"/>
                <w:szCs w:val="18"/>
              </w:rPr>
            </w:pPr>
          </w:p>
        </w:tc>
      </w:tr>
      <w:tr w14:paraId="688E4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DB95E3">
            <w:pPr>
              <w:rPr>
                <w:sz w:val="18"/>
                <w:szCs w:val="18"/>
              </w:rPr>
            </w:pPr>
          </w:p>
        </w:tc>
        <w:tc>
          <w:tcPr>
            <w:vMerge w:val="continue"/>
            <w:vAlign w:val="center"/>
          </w:tcPr>
          <w:p w14:paraId="21FBA9D6">
            <w:pPr>
              <w:rPr>
                <w:sz w:val="18"/>
                <w:szCs w:val="18"/>
              </w:rPr>
            </w:pPr>
          </w:p>
        </w:tc>
        <w:tc>
          <w:tcPr>
            <w:vAlign w:val="center"/>
          </w:tcPr>
          <w:p w14:paraId="3F22567E">
            <w:pPr>
              <w:rPr>
                <w:sz w:val="18"/>
                <w:szCs w:val="18"/>
              </w:rPr>
            </w:pPr>
            <w:r>
              <w:rPr>
                <w:sz w:val="18"/>
                <w:szCs w:val="18"/>
              </w:rPr>
              <w:t>1009[卧室]</w:t>
            </w:r>
          </w:p>
        </w:tc>
        <w:tc>
          <w:tcPr>
            <w:vAlign w:val="center"/>
          </w:tcPr>
          <w:p w14:paraId="59D73F9D">
            <w:pPr>
              <w:rPr>
                <w:sz w:val="18"/>
                <w:szCs w:val="18"/>
              </w:rPr>
            </w:pPr>
            <w:r>
              <w:rPr>
                <w:sz w:val="18"/>
                <w:szCs w:val="18"/>
              </w:rPr>
              <w:t>C3520</w:t>
            </w:r>
          </w:p>
        </w:tc>
        <w:tc>
          <w:tcPr>
            <w:vAlign w:val="center"/>
          </w:tcPr>
          <w:p w14:paraId="70D4E7C8">
            <w:pPr>
              <w:rPr>
                <w:sz w:val="18"/>
                <w:szCs w:val="18"/>
              </w:rPr>
            </w:pPr>
            <w:r>
              <w:rPr>
                <w:sz w:val="18"/>
                <w:szCs w:val="18"/>
              </w:rPr>
              <w:t>平开窗-左合页</w:t>
            </w:r>
          </w:p>
        </w:tc>
        <w:tc>
          <w:tcPr>
            <w:vAlign w:val="center"/>
          </w:tcPr>
          <w:p w14:paraId="77159B46">
            <w:pPr>
              <w:rPr>
                <w:sz w:val="18"/>
                <w:szCs w:val="18"/>
              </w:rPr>
            </w:pPr>
            <w:r>
              <w:rPr>
                <w:sz w:val="18"/>
                <w:szCs w:val="18"/>
              </w:rPr>
              <w:t>7.00</w:t>
            </w:r>
          </w:p>
        </w:tc>
        <w:tc>
          <w:tcPr>
            <w:vAlign w:val="center"/>
          </w:tcPr>
          <w:p w14:paraId="06B2B7E5">
            <w:pPr>
              <w:rPr>
                <w:sz w:val="18"/>
                <w:szCs w:val="18"/>
              </w:rPr>
            </w:pPr>
            <w:r>
              <w:rPr>
                <w:sz w:val="18"/>
                <w:szCs w:val="18"/>
              </w:rPr>
              <w:t>7.00</w:t>
            </w:r>
          </w:p>
        </w:tc>
        <w:tc>
          <w:tcPr>
            <w:vAlign w:val="center"/>
          </w:tcPr>
          <w:p w14:paraId="763FF6B4">
            <w:pPr>
              <w:rPr>
                <w:sz w:val="18"/>
                <w:szCs w:val="18"/>
              </w:rPr>
            </w:pPr>
            <w:r>
              <w:rPr>
                <w:sz w:val="18"/>
                <w:szCs w:val="18"/>
              </w:rPr>
              <w:t>31.90</w:t>
            </w:r>
          </w:p>
        </w:tc>
        <w:tc>
          <w:tcPr>
            <w:vAlign w:val="center"/>
          </w:tcPr>
          <w:p w14:paraId="3F3BC567">
            <w:pPr>
              <w:rPr>
                <w:sz w:val="18"/>
                <w:szCs w:val="18"/>
              </w:rPr>
            </w:pPr>
            <w:r>
              <w:rPr>
                <w:sz w:val="18"/>
                <w:szCs w:val="18"/>
              </w:rPr>
              <w:t>21.94</w:t>
            </w:r>
          </w:p>
        </w:tc>
      </w:tr>
      <w:tr w14:paraId="1549D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B4634C">
            <w:pPr>
              <w:rPr>
                <w:sz w:val="18"/>
                <w:szCs w:val="18"/>
              </w:rPr>
            </w:pPr>
          </w:p>
        </w:tc>
        <w:tc>
          <w:tcPr>
            <w:vMerge w:val="continue"/>
            <w:vAlign w:val="center"/>
          </w:tcPr>
          <w:p w14:paraId="5475E08A">
            <w:pPr>
              <w:rPr>
                <w:sz w:val="18"/>
                <w:szCs w:val="18"/>
              </w:rPr>
            </w:pPr>
          </w:p>
        </w:tc>
        <w:tc>
          <w:tcPr>
            <w:gridSpan w:val="3"/>
            <w:shd w:val="clear" w:color="auto" w:fill="E6E6E6"/>
            <w:vAlign w:val="center"/>
          </w:tcPr>
          <w:p w14:paraId="2BEDAAC0">
            <w:pPr>
              <w:rPr>
                <w:sz w:val="18"/>
                <w:szCs w:val="18"/>
              </w:rPr>
            </w:pPr>
            <w:r>
              <w:rPr>
                <w:b/>
                <w:sz w:val="18"/>
                <w:szCs w:val="18"/>
              </w:rPr>
              <w:t>套内通风开口面积合计</w:t>
            </w:r>
          </w:p>
        </w:tc>
        <w:tc>
          <w:tcPr>
            <w:vAlign w:val="center"/>
          </w:tcPr>
          <w:p w14:paraId="27349DEE">
            <w:pPr>
              <w:rPr>
                <w:sz w:val="18"/>
                <w:szCs w:val="18"/>
              </w:rPr>
            </w:pPr>
            <w:r>
              <w:rPr>
                <w:sz w:val="18"/>
                <w:szCs w:val="18"/>
              </w:rPr>
              <w:t>56.91</w:t>
            </w:r>
          </w:p>
        </w:tc>
        <w:tc>
          <w:tcPr>
            <w:vAlign w:val="center"/>
          </w:tcPr>
          <w:p w14:paraId="27603D34">
            <w:pPr>
              <w:rPr>
                <w:sz w:val="18"/>
                <w:szCs w:val="18"/>
              </w:rPr>
            </w:pPr>
            <w:r>
              <w:rPr>
                <w:sz w:val="18"/>
                <w:szCs w:val="18"/>
              </w:rPr>
              <w:t>56.91</w:t>
            </w:r>
          </w:p>
        </w:tc>
        <w:tc>
          <w:tcPr>
            <w:vAlign w:val="center"/>
          </w:tcPr>
          <w:p w14:paraId="6CD6AC89">
            <w:pPr>
              <w:rPr>
                <w:sz w:val="18"/>
                <w:szCs w:val="18"/>
              </w:rPr>
            </w:pPr>
            <w:r>
              <w:rPr>
                <w:sz w:val="18"/>
                <w:szCs w:val="18"/>
              </w:rPr>
              <w:t>308.67</w:t>
            </w:r>
          </w:p>
        </w:tc>
        <w:tc>
          <w:tcPr>
            <w:vAlign w:val="center"/>
          </w:tcPr>
          <w:p w14:paraId="4230FE0A">
            <w:pPr>
              <w:rPr>
                <w:color w:val="0000FF"/>
                <w:sz w:val="18"/>
                <w:szCs w:val="18"/>
              </w:rPr>
            </w:pPr>
            <w:r>
              <w:rPr>
                <w:b/>
                <w:color w:val="0000FF"/>
                <w:sz w:val="18"/>
                <w:szCs w:val="18"/>
              </w:rPr>
              <w:t>18.44</w:t>
            </w:r>
          </w:p>
        </w:tc>
      </w:tr>
      <w:tr w14:paraId="08A4C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FE9F9AF">
            <w:pPr>
              <w:rPr>
                <w:sz w:val="18"/>
                <w:szCs w:val="18"/>
              </w:rPr>
            </w:pPr>
            <w:r>
              <w:rPr>
                <w:sz w:val="18"/>
                <w:szCs w:val="18"/>
              </w:rPr>
              <w:t>2层</w:t>
            </w:r>
          </w:p>
        </w:tc>
        <w:tc>
          <w:tcPr>
            <w:vMerge w:val="restart"/>
            <w:vAlign w:val="center"/>
          </w:tcPr>
          <w:p w14:paraId="3CC7DC89">
            <w:pPr>
              <w:rPr>
                <w:sz w:val="18"/>
                <w:szCs w:val="18"/>
              </w:rPr>
            </w:pPr>
            <w:r>
              <w:rPr>
                <w:sz w:val="18"/>
                <w:szCs w:val="18"/>
              </w:rPr>
              <w:t>1-B</w:t>
            </w:r>
          </w:p>
        </w:tc>
        <w:tc>
          <w:tcPr>
            <w:vMerge w:val="restart"/>
            <w:vAlign w:val="center"/>
          </w:tcPr>
          <w:p w14:paraId="73AF60F9">
            <w:pPr>
              <w:rPr>
                <w:sz w:val="18"/>
                <w:szCs w:val="18"/>
              </w:rPr>
            </w:pPr>
            <w:r>
              <w:rPr>
                <w:sz w:val="18"/>
                <w:szCs w:val="18"/>
              </w:rPr>
              <w:t>2001[起居室]</w:t>
            </w:r>
          </w:p>
        </w:tc>
        <w:tc>
          <w:tcPr>
            <w:vAlign w:val="center"/>
          </w:tcPr>
          <w:p w14:paraId="30EB695B">
            <w:pPr>
              <w:rPr>
                <w:sz w:val="18"/>
                <w:szCs w:val="18"/>
              </w:rPr>
            </w:pPr>
            <w:r>
              <w:rPr>
                <w:sz w:val="18"/>
                <w:szCs w:val="18"/>
              </w:rPr>
              <w:t>C2520</w:t>
            </w:r>
          </w:p>
        </w:tc>
        <w:tc>
          <w:tcPr>
            <w:vAlign w:val="center"/>
          </w:tcPr>
          <w:p w14:paraId="49CE6C8A">
            <w:pPr>
              <w:rPr>
                <w:sz w:val="18"/>
                <w:szCs w:val="18"/>
              </w:rPr>
            </w:pPr>
            <w:r>
              <w:rPr>
                <w:sz w:val="18"/>
                <w:szCs w:val="18"/>
              </w:rPr>
              <w:t>平开窗-左合页</w:t>
            </w:r>
          </w:p>
        </w:tc>
        <w:tc>
          <w:tcPr>
            <w:vAlign w:val="center"/>
          </w:tcPr>
          <w:p w14:paraId="1872B01B">
            <w:pPr>
              <w:rPr>
                <w:sz w:val="18"/>
                <w:szCs w:val="18"/>
              </w:rPr>
            </w:pPr>
            <w:r>
              <w:rPr>
                <w:sz w:val="18"/>
                <w:szCs w:val="18"/>
              </w:rPr>
              <w:t>5.00</w:t>
            </w:r>
          </w:p>
        </w:tc>
        <w:tc>
          <w:tcPr>
            <w:vMerge w:val="restart"/>
            <w:vAlign w:val="center"/>
          </w:tcPr>
          <w:p w14:paraId="1E1E8C06">
            <w:pPr>
              <w:rPr>
                <w:sz w:val="18"/>
                <w:szCs w:val="18"/>
              </w:rPr>
            </w:pPr>
            <w:r>
              <w:rPr>
                <w:sz w:val="18"/>
                <w:szCs w:val="18"/>
              </w:rPr>
              <w:t>12.00</w:t>
            </w:r>
          </w:p>
        </w:tc>
        <w:tc>
          <w:tcPr>
            <w:vMerge w:val="restart"/>
            <w:vAlign w:val="center"/>
          </w:tcPr>
          <w:p w14:paraId="4A7AAE60">
            <w:pPr>
              <w:rPr>
                <w:sz w:val="18"/>
                <w:szCs w:val="18"/>
              </w:rPr>
            </w:pPr>
            <w:r>
              <w:rPr>
                <w:sz w:val="18"/>
                <w:szCs w:val="18"/>
              </w:rPr>
              <w:t>64.96</w:t>
            </w:r>
          </w:p>
        </w:tc>
        <w:tc>
          <w:tcPr>
            <w:vMerge w:val="restart"/>
            <w:vAlign w:val="center"/>
          </w:tcPr>
          <w:p w14:paraId="3291568C">
            <w:pPr>
              <w:rPr>
                <w:sz w:val="18"/>
                <w:szCs w:val="18"/>
              </w:rPr>
            </w:pPr>
            <w:r>
              <w:rPr>
                <w:sz w:val="18"/>
                <w:szCs w:val="18"/>
              </w:rPr>
              <w:t>18.47</w:t>
            </w:r>
          </w:p>
        </w:tc>
      </w:tr>
      <w:tr w14:paraId="779EE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801260">
            <w:pPr>
              <w:rPr>
                <w:sz w:val="18"/>
                <w:szCs w:val="18"/>
              </w:rPr>
            </w:pPr>
          </w:p>
        </w:tc>
        <w:tc>
          <w:tcPr>
            <w:vMerge w:val="continue"/>
            <w:vAlign w:val="center"/>
          </w:tcPr>
          <w:p w14:paraId="3D540FC9">
            <w:pPr>
              <w:rPr>
                <w:sz w:val="18"/>
                <w:szCs w:val="18"/>
              </w:rPr>
            </w:pPr>
          </w:p>
        </w:tc>
        <w:tc>
          <w:tcPr>
            <w:vMerge w:val="continue"/>
            <w:vAlign w:val="center"/>
          </w:tcPr>
          <w:p w14:paraId="18978B10">
            <w:pPr>
              <w:rPr>
                <w:sz w:val="18"/>
                <w:szCs w:val="18"/>
              </w:rPr>
            </w:pPr>
          </w:p>
        </w:tc>
        <w:tc>
          <w:tcPr>
            <w:vAlign w:val="center"/>
          </w:tcPr>
          <w:p w14:paraId="26993FB3">
            <w:pPr>
              <w:rPr>
                <w:sz w:val="18"/>
                <w:szCs w:val="18"/>
              </w:rPr>
            </w:pPr>
            <w:r>
              <w:rPr>
                <w:sz w:val="18"/>
                <w:szCs w:val="18"/>
              </w:rPr>
              <w:t>C3520</w:t>
            </w:r>
          </w:p>
        </w:tc>
        <w:tc>
          <w:tcPr>
            <w:vAlign w:val="center"/>
          </w:tcPr>
          <w:p w14:paraId="4D591602">
            <w:pPr>
              <w:rPr>
                <w:sz w:val="18"/>
                <w:szCs w:val="18"/>
              </w:rPr>
            </w:pPr>
            <w:r>
              <w:rPr>
                <w:sz w:val="18"/>
                <w:szCs w:val="18"/>
              </w:rPr>
              <w:t>平开窗-左合页</w:t>
            </w:r>
          </w:p>
        </w:tc>
        <w:tc>
          <w:tcPr>
            <w:vAlign w:val="center"/>
          </w:tcPr>
          <w:p w14:paraId="12632769">
            <w:pPr>
              <w:rPr>
                <w:sz w:val="18"/>
                <w:szCs w:val="18"/>
              </w:rPr>
            </w:pPr>
            <w:r>
              <w:rPr>
                <w:sz w:val="18"/>
                <w:szCs w:val="18"/>
              </w:rPr>
              <w:t>7.00</w:t>
            </w:r>
          </w:p>
        </w:tc>
        <w:tc>
          <w:tcPr>
            <w:vMerge w:val="continue"/>
            <w:vAlign w:val="center"/>
          </w:tcPr>
          <w:p w14:paraId="233F22DF">
            <w:pPr>
              <w:rPr>
                <w:sz w:val="18"/>
                <w:szCs w:val="18"/>
              </w:rPr>
            </w:pPr>
          </w:p>
        </w:tc>
        <w:tc>
          <w:tcPr>
            <w:vMerge w:val="continue"/>
            <w:vAlign w:val="center"/>
          </w:tcPr>
          <w:p w14:paraId="174CC0FF">
            <w:pPr>
              <w:rPr>
                <w:sz w:val="18"/>
                <w:szCs w:val="18"/>
              </w:rPr>
            </w:pPr>
          </w:p>
        </w:tc>
        <w:tc>
          <w:tcPr>
            <w:vMerge w:val="continue"/>
            <w:vAlign w:val="center"/>
          </w:tcPr>
          <w:p w14:paraId="54F9C86B">
            <w:pPr>
              <w:rPr>
                <w:sz w:val="18"/>
                <w:szCs w:val="18"/>
              </w:rPr>
            </w:pPr>
          </w:p>
        </w:tc>
      </w:tr>
      <w:tr w14:paraId="442AE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D2D9F4">
            <w:pPr>
              <w:rPr>
                <w:sz w:val="18"/>
                <w:szCs w:val="18"/>
              </w:rPr>
            </w:pPr>
          </w:p>
        </w:tc>
        <w:tc>
          <w:tcPr>
            <w:vMerge w:val="continue"/>
            <w:vAlign w:val="center"/>
          </w:tcPr>
          <w:p w14:paraId="0F55A422">
            <w:pPr>
              <w:rPr>
                <w:sz w:val="18"/>
                <w:szCs w:val="18"/>
              </w:rPr>
            </w:pPr>
          </w:p>
        </w:tc>
        <w:tc>
          <w:tcPr>
            <w:vMerge w:val="restart"/>
            <w:vAlign w:val="center"/>
          </w:tcPr>
          <w:p w14:paraId="59D06FA1">
            <w:pPr>
              <w:rPr>
                <w:sz w:val="18"/>
                <w:szCs w:val="18"/>
              </w:rPr>
            </w:pPr>
            <w:r>
              <w:rPr>
                <w:sz w:val="18"/>
                <w:szCs w:val="18"/>
              </w:rPr>
              <w:t>2002[书房]</w:t>
            </w:r>
          </w:p>
        </w:tc>
        <w:tc>
          <w:tcPr>
            <w:vAlign w:val="center"/>
          </w:tcPr>
          <w:p w14:paraId="0F22282D">
            <w:pPr>
              <w:rPr>
                <w:sz w:val="18"/>
                <w:szCs w:val="18"/>
              </w:rPr>
            </w:pPr>
            <w:r>
              <w:rPr>
                <w:sz w:val="18"/>
                <w:szCs w:val="18"/>
              </w:rPr>
              <w:t>C3515</w:t>
            </w:r>
          </w:p>
        </w:tc>
        <w:tc>
          <w:tcPr>
            <w:vAlign w:val="center"/>
          </w:tcPr>
          <w:p w14:paraId="314F4E77">
            <w:pPr>
              <w:rPr>
                <w:sz w:val="18"/>
                <w:szCs w:val="18"/>
              </w:rPr>
            </w:pPr>
            <w:r>
              <w:rPr>
                <w:sz w:val="18"/>
                <w:szCs w:val="18"/>
              </w:rPr>
              <w:t>平开窗-左合页</w:t>
            </w:r>
          </w:p>
        </w:tc>
        <w:tc>
          <w:tcPr>
            <w:vAlign w:val="center"/>
          </w:tcPr>
          <w:p w14:paraId="6C349372">
            <w:pPr>
              <w:rPr>
                <w:sz w:val="18"/>
                <w:szCs w:val="18"/>
              </w:rPr>
            </w:pPr>
            <w:r>
              <w:rPr>
                <w:sz w:val="18"/>
                <w:szCs w:val="18"/>
              </w:rPr>
              <w:t>5.25</w:t>
            </w:r>
          </w:p>
        </w:tc>
        <w:tc>
          <w:tcPr>
            <w:vMerge w:val="restart"/>
            <w:vAlign w:val="center"/>
          </w:tcPr>
          <w:p w14:paraId="3CD08416">
            <w:pPr>
              <w:rPr>
                <w:sz w:val="18"/>
                <w:szCs w:val="18"/>
              </w:rPr>
            </w:pPr>
            <w:r>
              <w:rPr>
                <w:sz w:val="18"/>
                <w:szCs w:val="18"/>
              </w:rPr>
              <w:t>16.45</w:t>
            </w:r>
          </w:p>
        </w:tc>
        <w:tc>
          <w:tcPr>
            <w:vMerge w:val="restart"/>
            <w:vAlign w:val="center"/>
          </w:tcPr>
          <w:p w14:paraId="7094853A">
            <w:pPr>
              <w:rPr>
                <w:sz w:val="18"/>
                <w:szCs w:val="18"/>
              </w:rPr>
            </w:pPr>
            <w:r>
              <w:rPr>
                <w:sz w:val="18"/>
                <w:szCs w:val="18"/>
              </w:rPr>
              <w:t>63.55</w:t>
            </w:r>
          </w:p>
        </w:tc>
        <w:tc>
          <w:tcPr>
            <w:vMerge w:val="restart"/>
            <w:vAlign w:val="center"/>
          </w:tcPr>
          <w:p w14:paraId="443FAE7C">
            <w:pPr>
              <w:rPr>
                <w:sz w:val="18"/>
                <w:szCs w:val="18"/>
              </w:rPr>
            </w:pPr>
            <w:r>
              <w:rPr>
                <w:sz w:val="18"/>
                <w:szCs w:val="18"/>
              </w:rPr>
              <w:t>25.88</w:t>
            </w:r>
          </w:p>
        </w:tc>
      </w:tr>
      <w:tr w14:paraId="4704109F">
        <w:tblPrEx>
          <w:tblCellMar>
            <w:top w:w="0" w:type="dxa"/>
            <w:left w:w="108" w:type="dxa"/>
            <w:bottom w:w="0" w:type="dxa"/>
            <w:right w:w="108" w:type="dxa"/>
          </w:tblCellMar>
        </w:tblPrEx>
        <w:tc>
          <w:tcPr>
            <w:vMerge w:val="continue"/>
            <w:vAlign w:val="center"/>
          </w:tcPr>
          <w:p w14:paraId="17FAA401">
            <w:pPr>
              <w:rPr>
                <w:sz w:val="18"/>
                <w:szCs w:val="18"/>
              </w:rPr>
            </w:pPr>
          </w:p>
        </w:tc>
        <w:tc>
          <w:tcPr>
            <w:vMerge w:val="continue"/>
            <w:vAlign w:val="center"/>
          </w:tcPr>
          <w:p w14:paraId="7D74DBF6">
            <w:pPr>
              <w:rPr>
                <w:sz w:val="18"/>
                <w:szCs w:val="18"/>
              </w:rPr>
            </w:pPr>
          </w:p>
        </w:tc>
        <w:tc>
          <w:tcPr>
            <w:vMerge w:val="continue"/>
            <w:vAlign w:val="center"/>
          </w:tcPr>
          <w:p w14:paraId="7C61A54E">
            <w:pPr>
              <w:rPr>
                <w:sz w:val="18"/>
                <w:szCs w:val="18"/>
              </w:rPr>
            </w:pPr>
          </w:p>
        </w:tc>
        <w:tc>
          <w:tcPr>
            <w:vAlign w:val="center"/>
          </w:tcPr>
          <w:p w14:paraId="716E4246">
            <w:pPr>
              <w:rPr>
                <w:sz w:val="18"/>
                <w:szCs w:val="18"/>
              </w:rPr>
            </w:pPr>
            <w:r>
              <w:rPr>
                <w:sz w:val="18"/>
                <w:szCs w:val="18"/>
              </w:rPr>
              <w:t>C4028</w:t>
            </w:r>
          </w:p>
        </w:tc>
        <w:tc>
          <w:tcPr>
            <w:vAlign w:val="center"/>
          </w:tcPr>
          <w:p w14:paraId="337A7752">
            <w:pPr>
              <w:rPr>
                <w:sz w:val="18"/>
                <w:szCs w:val="18"/>
              </w:rPr>
            </w:pPr>
            <w:r>
              <w:rPr>
                <w:sz w:val="18"/>
                <w:szCs w:val="18"/>
              </w:rPr>
              <w:t>平开窗-左合页</w:t>
            </w:r>
          </w:p>
        </w:tc>
        <w:tc>
          <w:tcPr>
            <w:vAlign w:val="center"/>
          </w:tcPr>
          <w:p w14:paraId="621F7F5D">
            <w:pPr>
              <w:rPr>
                <w:sz w:val="18"/>
                <w:szCs w:val="18"/>
              </w:rPr>
            </w:pPr>
            <w:r>
              <w:rPr>
                <w:sz w:val="18"/>
                <w:szCs w:val="18"/>
              </w:rPr>
              <w:t>11.20</w:t>
            </w:r>
          </w:p>
        </w:tc>
        <w:tc>
          <w:tcPr>
            <w:vMerge w:val="continue"/>
            <w:vAlign w:val="center"/>
          </w:tcPr>
          <w:p w14:paraId="040A00D0">
            <w:pPr>
              <w:rPr>
                <w:sz w:val="18"/>
                <w:szCs w:val="18"/>
              </w:rPr>
            </w:pPr>
          </w:p>
        </w:tc>
        <w:tc>
          <w:tcPr>
            <w:vMerge w:val="continue"/>
            <w:vAlign w:val="center"/>
          </w:tcPr>
          <w:p w14:paraId="6DA8D30D">
            <w:pPr>
              <w:rPr>
                <w:sz w:val="18"/>
                <w:szCs w:val="18"/>
              </w:rPr>
            </w:pPr>
          </w:p>
        </w:tc>
        <w:tc>
          <w:tcPr>
            <w:vMerge w:val="continue"/>
            <w:vAlign w:val="center"/>
          </w:tcPr>
          <w:p w14:paraId="7E04DF37">
            <w:pPr>
              <w:rPr>
                <w:sz w:val="18"/>
                <w:szCs w:val="18"/>
              </w:rPr>
            </w:pPr>
          </w:p>
        </w:tc>
      </w:tr>
      <w:tr w14:paraId="2E910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02A102">
            <w:pPr>
              <w:rPr>
                <w:sz w:val="18"/>
                <w:szCs w:val="18"/>
              </w:rPr>
            </w:pPr>
          </w:p>
        </w:tc>
        <w:tc>
          <w:tcPr>
            <w:vMerge w:val="continue"/>
            <w:vAlign w:val="center"/>
          </w:tcPr>
          <w:p w14:paraId="32432B81">
            <w:pPr>
              <w:rPr>
                <w:sz w:val="18"/>
                <w:szCs w:val="18"/>
              </w:rPr>
            </w:pPr>
          </w:p>
        </w:tc>
        <w:tc>
          <w:tcPr>
            <w:vMerge w:val="restart"/>
            <w:vAlign w:val="center"/>
          </w:tcPr>
          <w:p w14:paraId="6C954DB1">
            <w:pPr>
              <w:rPr>
                <w:sz w:val="18"/>
                <w:szCs w:val="18"/>
              </w:rPr>
            </w:pPr>
            <w:r>
              <w:rPr>
                <w:sz w:val="18"/>
                <w:szCs w:val="18"/>
              </w:rPr>
              <w:t>2004[卧室]</w:t>
            </w:r>
          </w:p>
        </w:tc>
        <w:tc>
          <w:tcPr>
            <w:vAlign w:val="center"/>
          </w:tcPr>
          <w:p w14:paraId="7C404BB7">
            <w:pPr>
              <w:rPr>
                <w:sz w:val="18"/>
                <w:szCs w:val="18"/>
              </w:rPr>
            </w:pPr>
            <w:r>
              <w:rPr>
                <w:sz w:val="18"/>
                <w:szCs w:val="18"/>
              </w:rPr>
              <w:t>C0915</w:t>
            </w:r>
          </w:p>
        </w:tc>
        <w:tc>
          <w:tcPr>
            <w:vAlign w:val="center"/>
          </w:tcPr>
          <w:p w14:paraId="0FAC8EE3">
            <w:pPr>
              <w:rPr>
                <w:sz w:val="18"/>
                <w:szCs w:val="18"/>
              </w:rPr>
            </w:pPr>
            <w:r>
              <w:rPr>
                <w:sz w:val="18"/>
                <w:szCs w:val="18"/>
              </w:rPr>
              <w:t>平开窗-左合页</w:t>
            </w:r>
          </w:p>
        </w:tc>
        <w:tc>
          <w:tcPr>
            <w:vAlign w:val="center"/>
          </w:tcPr>
          <w:p w14:paraId="58E28510">
            <w:pPr>
              <w:rPr>
                <w:sz w:val="18"/>
                <w:szCs w:val="18"/>
              </w:rPr>
            </w:pPr>
            <w:r>
              <w:rPr>
                <w:sz w:val="18"/>
                <w:szCs w:val="18"/>
              </w:rPr>
              <w:t>1.80</w:t>
            </w:r>
          </w:p>
        </w:tc>
        <w:tc>
          <w:tcPr>
            <w:vMerge w:val="restart"/>
            <w:vAlign w:val="center"/>
          </w:tcPr>
          <w:p w14:paraId="31A72CA3">
            <w:pPr>
              <w:rPr>
                <w:sz w:val="18"/>
                <w:szCs w:val="18"/>
              </w:rPr>
            </w:pPr>
            <w:r>
              <w:rPr>
                <w:sz w:val="18"/>
                <w:szCs w:val="18"/>
              </w:rPr>
              <w:t>8.80</w:t>
            </w:r>
          </w:p>
        </w:tc>
        <w:tc>
          <w:tcPr>
            <w:vMerge w:val="restart"/>
            <w:vAlign w:val="center"/>
          </w:tcPr>
          <w:p w14:paraId="05222B4F">
            <w:pPr>
              <w:rPr>
                <w:sz w:val="18"/>
                <w:szCs w:val="18"/>
              </w:rPr>
            </w:pPr>
            <w:r>
              <w:rPr>
                <w:sz w:val="18"/>
                <w:szCs w:val="18"/>
              </w:rPr>
              <w:t>42.34</w:t>
            </w:r>
          </w:p>
        </w:tc>
        <w:tc>
          <w:tcPr>
            <w:vMerge w:val="restart"/>
            <w:vAlign w:val="center"/>
          </w:tcPr>
          <w:p w14:paraId="3D4B1312">
            <w:pPr>
              <w:rPr>
                <w:sz w:val="18"/>
                <w:szCs w:val="18"/>
              </w:rPr>
            </w:pPr>
            <w:r>
              <w:rPr>
                <w:sz w:val="18"/>
                <w:szCs w:val="18"/>
              </w:rPr>
              <w:t>20.78</w:t>
            </w:r>
          </w:p>
        </w:tc>
      </w:tr>
      <w:tr w14:paraId="3EEDA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B54BB6">
            <w:pPr>
              <w:rPr>
                <w:sz w:val="18"/>
                <w:szCs w:val="18"/>
              </w:rPr>
            </w:pPr>
          </w:p>
        </w:tc>
        <w:tc>
          <w:tcPr>
            <w:vMerge w:val="continue"/>
            <w:vAlign w:val="center"/>
          </w:tcPr>
          <w:p w14:paraId="4174906F">
            <w:pPr>
              <w:rPr>
                <w:sz w:val="18"/>
                <w:szCs w:val="18"/>
              </w:rPr>
            </w:pPr>
          </w:p>
        </w:tc>
        <w:tc>
          <w:tcPr>
            <w:vMerge w:val="continue"/>
            <w:vAlign w:val="center"/>
          </w:tcPr>
          <w:p w14:paraId="1A1D7B5C">
            <w:pPr>
              <w:rPr>
                <w:sz w:val="18"/>
                <w:szCs w:val="18"/>
              </w:rPr>
            </w:pPr>
          </w:p>
        </w:tc>
        <w:tc>
          <w:tcPr>
            <w:vAlign w:val="center"/>
          </w:tcPr>
          <w:p w14:paraId="4F3631C9">
            <w:pPr>
              <w:rPr>
                <w:sz w:val="18"/>
                <w:szCs w:val="18"/>
              </w:rPr>
            </w:pPr>
            <w:r>
              <w:rPr>
                <w:sz w:val="18"/>
                <w:szCs w:val="18"/>
              </w:rPr>
              <w:t>C3520</w:t>
            </w:r>
          </w:p>
        </w:tc>
        <w:tc>
          <w:tcPr>
            <w:vAlign w:val="center"/>
          </w:tcPr>
          <w:p w14:paraId="0C363E9D">
            <w:pPr>
              <w:rPr>
                <w:sz w:val="18"/>
                <w:szCs w:val="18"/>
              </w:rPr>
            </w:pPr>
            <w:r>
              <w:rPr>
                <w:sz w:val="18"/>
                <w:szCs w:val="18"/>
              </w:rPr>
              <w:t>平开窗-左合页</w:t>
            </w:r>
          </w:p>
        </w:tc>
        <w:tc>
          <w:tcPr>
            <w:vAlign w:val="center"/>
          </w:tcPr>
          <w:p w14:paraId="687AF0B9">
            <w:pPr>
              <w:rPr>
                <w:sz w:val="18"/>
                <w:szCs w:val="18"/>
              </w:rPr>
            </w:pPr>
            <w:r>
              <w:rPr>
                <w:sz w:val="18"/>
                <w:szCs w:val="18"/>
              </w:rPr>
              <w:t>7.00</w:t>
            </w:r>
          </w:p>
        </w:tc>
        <w:tc>
          <w:tcPr>
            <w:vMerge w:val="continue"/>
            <w:vAlign w:val="center"/>
          </w:tcPr>
          <w:p w14:paraId="7D9B115A">
            <w:pPr>
              <w:rPr>
                <w:sz w:val="18"/>
                <w:szCs w:val="18"/>
              </w:rPr>
            </w:pPr>
          </w:p>
        </w:tc>
        <w:tc>
          <w:tcPr>
            <w:vMerge w:val="continue"/>
            <w:vAlign w:val="center"/>
          </w:tcPr>
          <w:p w14:paraId="47A61464">
            <w:pPr>
              <w:rPr>
                <w:sz w:val="18"/>
                <w:szCs w:val="18"/>
              </w:rPr>
            </w:pPr>
          </w:p>
        </w:tc>
        <w:tc>
          <w:tcPr>
            <w:vMerge w:val="continue"/>
            <w:vAlign w:val="center"/>
          </w:tcPr>
          <w:p w14:paraId="21B578BE">
            <w:pPr>
              <w:rPr>
                <w:sz w:val="18"/>
                <w:szCs w:val="18"/>
              </w:rPr>
            </w:pPr>
          </w:p>
        </w:tc>
      </w:tr>
      <w:tr w14:paraId="63A5F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B967F6">
            <w:pPr>
              <w:rPr>
                <w:sz w:val="18"/>
                <w:szCs w:val="18"/>
              </w:rPr>
            </w:pPr>
          </w:p>
        </w:tc>
        <w:tc>
          <w:tcPr>
            <w:vMerge w:val="continue"/>
            <w:vAlign w:val="center"/>
          </w:tcPr>
          <w:p w14:paraId="450146E8">
            <w:pPr>
              <w:rPr>
                <w:sz w:val="18"/>
                <w:szCs w:val="18"/>
              </w:rPr>
            </w:pPr>
          </w:p>
        </w:tc>
        <w:tc>
          <w:tcPr>
            <w:gridSpan w:val="3"/>
            <w:shd w:val="clear" w:color="auto" w:fill="E6E6E6"/>
            <w:vAlign w:val="center"/>
          </w:tcPr>
          <w:p w14:paraId="50ECA547">
            <w:pPr>
              <w:rPr>
                <w:sz w:val="18"/>
                <w:szCs w:val="18"/>
              </w:rPr>
            </w:pPr>
            <w:r>
              <w:rPr>
                <w:b/>
                <w:sz w:val="18"/>
                <w:szCs w:val="18"/>
              </w:rPr>
              <w:t>套内通风开口面积合计</w:t>
            </w:r>
          </w:p>
        </w:tc>
        <w:tc>
          <w:tcPr>
            <w:vAlign w:val="center"/>
          </w:tcPr>
          <w:p w14:paraId="78E33602">
            <w:pPr>
              <w:rPr>
                <w:sz w:val="18"/>
                <w:szCs w:val="18"/>
              </w:rPr>
            </w:pPr>
            <w:r>
              <w:rPr>
                <w:sz w:val="18"/>
                <w:szCs w:val="18"/>
              </w:rPr>
              <w:t>37.25</w:t>
            </w:r>
          </w:p>
        </w:tc>
        <w:tc>
          <w:tcPr>
            <w:vAlign w:val="center"/>
          </w:tcPr>
          <w:p w14:paraId="4FE0689C">
            <w:pPr>
              <w:rPr>
                <w:sz w:val="18"/>
                <w:szCs w:val="18"/>
              </w:rPr>
            </w:pPr>
            <w:r>
              <w:rPr>
                <w:sz w:val="18"/>
                <w:szCs w:val="18"/>
              </w:rPr>
              <w:t>37.25</w:t>
            </w:r>
          </w:p>
        </w:tc>
        <w:tc>
          <w:tcPr>
            <w:vAlign w:val="center"/>
          </w:tcPr>
          <w:p w14:paraId="2D525914">
            <w:pPr>
              <w:rPr>
                <w:sz w:val="18"/>
                <w:szCs w:val="18"/>
              </w:rPr>
            </w:pPr>
            <w:r>
              <w:rPr>
                <w:sz w:val="18"/>
                <w:szCs w:val="18"/>
              </w:rPr>
              <w:t>170.86</w:t>
            </w:r>
          </w:p>
        </w:tc>
        <w:tc>
          <w:tcPr>
            <w:vAlign w:val="center"/>
          </w:tcPr>
          <w:p w14:paraId="462C3EC4">
            <w:pPr>
              <w:rPr>
                <w:sz w:val="18"/>
                <w:szCs w:val="18"/>
              </w:rPr>
            </w:pPr>
            <w:r>
              <w:rPr>
                <w:b/>
                <w:sz w:val="18"/>
                <w:szCs w:val="18"/>
              </w:rPr>
              <w:t>21.80</w:t>
            </w:r>
          </w:p>
        </w:tc>
      </w:tr>
    </w:tbl>
    <w:p w14:paraId="0DF48BAE">
      <w:pPr>
        <w:rPr>
          <w:sz w:val="18"/>
          <w:szCs w:val="18"/>
        </w:rPr>
      </w:pPr>
      <w:bookmarkStart w:id="26" w:name="统计计算表"/>
      <w:bookmarkEnd w:id="26"/>
    </w:p>
    <w:p w14:paraId="1D5396B1">
      <w:pPr>
        <w:widowControl w:val="0"/>
        <w:ind w:firstLine="420"/>
        <w:jc w:val="both"/>
        <w:rPr>
          <w:kern w:val="2"/>
          <w:szCs w:val="24"/>
          <w:lang w:val="en-US"/>
        </w:rPr>
      </w:pPr>
      <w:r>
        <w:rPr>
          <w:rFonts w:hint="eastAsia"/>
          <w:b/>
          <w:kern w:val="2"/>
          <w:szCs w:val="18"/>
          <w:lang w:val="en-US"/>
        </w:rPr>
        <w:t>注：通风开口面积与地板面积的比例在表中简称开地比。</w:t>
      </w:r>
    </w:p>
    <w:p w14:paraId="26B7FB68">
      <w:pPr>
        <w:pStyle w:val="2"/>
        <w:rPr>
          <w:rFonts w:ascii="微软雅黑" w:hAnsi="微软雅黑" w:eastAsia="微软雅黑"/>
          <w:kern w:val="2"/>
        </w:rPr>
      </w:pPr>
      <w:bookmarkStart w:id="27" w:name="_Toc420663553"/>
      <w:r>
        <w:rPr>
          <w:rFonts w:hint="eastAsia" w:ascii="微软雅黑" w:hAnsi="微软雅黑" w:eastAsia="微软雅黑"/>
          <w:kern w:val="2"/>
        </w:rPr>
        <w:t>结论</w:t>
      </w:r>
      <w:bookmarkEnd w:id="27"/>
    </w:p>
    <w:p w14:paraId="00E0FAD6">
      <w:pPr>
        <w:pStyle w:val="3"/>
        <w:ind w:firstLine="420" w:firstLineChars="0"/>
        <w:rPr>
          <w:rFonts w:ascii="微软雅黑" w:hAnsi="微软雅黑" w:eastAsia="微软雅黑"/>
          <w:kern w:val="2"/>
          <w:szCs w:val="24"/>
          <w:lang w:val="en-US"/>
        </w:rPr>
      </w:pPr>
      <w:bookmarkStart w:id="28" w:name="总结论"/>
      <w:r>
        <w:rPr>
          <w:rFonts w:hint="eastAsia" w:ascii="微软雅黑" w:hAnsi="微软雅黑" w:eastAsia="微软雅黑"/>
        </w:rPr>
        <w:t>通过计算该建筑各套住宅的通风开口面积比例，得出其中最小值</w:t>
      </w:r>
      <w:r>
        <w:rPr>
          <w:rFonts w:hint="eastAsia" w:ascii="微软雅黑" w:hAnsi="微软雅黑" w:eastAsia="微软雅黑"/>
          <w:kern w:val="2"/>
          <w:szCs w:val="24"/>
          <w:lang w:val="en-US"/>
        </w:rPr>
        <w:t>为</w:t>
      </w:r>
      <w:bookmarkStart w:id="29" w:name="最小比例值"/>
      <w:r>
        <w:rPr>
          <w:rFonts w:hint="eastAsia" w:ascii="微软雅黑" w:hAnsi="微软雅黑" w:eastAsia="微软雅黑"/>
          <w:kern w:val="2"/>
          <w:szCs w:val="24"/>
          <w:lang w:val="en-US"/>
        </w:rPr>
        <w:t>18.4</w:t>
      </w:r>
      <w:bookmarkEnd w:id="29"/>
      <w:r>
        <w:rPr>
          <w:rFonts w:hint="eastAsia" w:ascii="微软雅黑" w:hAnsi="微软雅黑" w:eastAsia="微软雅黑"/>
          <w:kern w:val="2"/>
          <w:szCs w:val="24"/>
          <w:lang w:val="en-US"/>
        </w:rPr>
        <w:t>%，</w:t>
      </w:r>
      <w:bookmarkStart w:id="30" w:name="结论标准要求"/>
      <w:r>
        <w:rPr>
          <w:rFonts w:hint="eastAsia" w:ascii="微软雅黑" w:hAnsi="微软雅黑" w:eastAsia="微软雅黑"/>
          <w:kern w:val="2"/>
          <w:szCs w:val="24"/>
          <w:lang w:val="en-US"/>
        </w:rPr>
        <w:t>按照标准要求该项</w:t>
      </w:r>
      <w:bookmarkStart w:id="31" w:name="得分"/>
      <w:r>
        <w:rPr>
          <w:rFonts w:hint="eastAsia" w:ascii="微软雅黑" w:hAnsi="微软雅黑" w:eastAsia="微软雅黑"/>
          <w:kern w:val="2"/>
          <w:szCs w:val="24"/>
          <w:lang w:val="en-US"/>
        </w:rPr>
        <w:t>得8分</w:t>
      </w:r>
      <w:bookmarkEnd w:id="30"/>
      <w:bookmarkEnd w:id="31"/>
      <w:r>
        <w:rPr>
          <w:rFonts w:hint="eastAsia" w:ascii="微软雅黑" w:hAnsi="微软雅黑" w:eastAsia="微软雅黑"/>
          <w:kern w:val="2"/>
          <w:szCs w:val="24"/>
          <w:lang w:val="en-US"/>
        </w:rPr>
        <w:t>。</w:t>
      </w:r>
      <w:bookmarkEnd w:id="28"/>
    </w:p>
    <w:p w14:paraId="2A093E49">
      <w:pPr>
        <w:rPr>
          <w:lang w:val="en-US"/>
        </w:rPr>
      </w:pPr>
    </w:p>
    <w:p w14:paraId="5B38E354">
      <w:pPr>
        <w:rPr>
          <w:lang w:val="en-US"/>
        </w:rPr>
      </w:pPr>
    </w:p>
    <w:sectPr>
      <w:pgSz w:w="11906" w:h="16838"/>
      <w:pgMar w:top="1440" w:right="1800" w:bottom="1440" w:left="1800"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6"/>
      <w:gridCol w:w="2849"/>
      <w:gridCol w:w="2837"/>
    </w:tblGrid>
    <w:tr w14:paraId="3935B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30FFB562">
          <w:pPr>
            <w:pStyle w:val="15"/>
            <w:spacing w:line="360" w:lineRule="exact"/>
            <w:rPr>
              <w:sz w:val="20"/>
              <w:szCs w:val="21"/>
            </w:rPr>
          </w:pPr>
        </w:p>
      </w:tc>
      <w:tc>
        <w:tcPr>
          <w:tcW w:w="3020" w:type="dxa"/>
        </w:tcPr>
        <w:p w14:paraId="08C27F09">
          <w:pPr>
            <w:pStyle w:val="15"/>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4</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4</w:t>
              </w:r>
              <w:r>
                <w:rPr>
                  <w:bCs/>
                  <w:sz w:val="20"/>
                  <w:szCs w:val="21"/>
                </w:rPr>
                <w:fldChar w:fldCharType="end"/>
              </w:r>
              <w:r>
                <w:rPr>
                  <w:rFonts w:hint="eastAsia"/>
                  <w:bCs/>
                  <w:sz w:val="20"/>
                  <w:szCs w:val="21"/>
                </w:rPr>
                <w:t>页</w:t>
              </w:r>
            </w:sdtContent>
          </w:sdt>
        </w:p>
      </w:tc>
      <w:tc>
        <w:tcPr>
          <w:tcW w:w="3020" w:type="dxa"/>
        </w:tcPr>
        <w:p w14:paraId="4CBA320D">
          <w:pPr>
            <w:pStyle w:val="15"/>
            <w:spacing w:line="360" w:lineRule="exact"/>
            <w:jc w:val="right"/>
            <w:rPr>
              <w:sz w:val="20"/>
              <w:szCs w:val="21"/>
            </w:rPr>
          </w:pPr>
        </w:p>
      </w:tc>
    </w:tr>
  </w:tbl>
  <w:p w14:paraId="559CF357">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4F0D0">
    <w:pPr>
      <w:pStyle w:val="16"/>
      <w:spacing w:line="240" w:lineRule="atLeast"/>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6E60CB"/>
    <w:rsid w:val="00003401"/>
    <w:rsid w:val="00005A89"/>
    <w:rsid w:val="0000779F"/>
    <w:rsid w:val="000165F8"/>
    <w:rsid w:val="0002224F"/>
    <w:rsid w:val="00023717"/>
    <w:rsid w:val="00023CB8"/>
    <w:rsid w:val="000240F3"/>
    <w:rsid w:val="00026A83"/>
    <w:rsid w:val="00033F9E"/>
    <w:rsid w:val="00037A4C"/>
    <w:rsid w:val="00037D9B"/>
    <w:rsid w:val="00044565"/>
    <w:rsid w:val="00056A64"/>
    <w:rsid w:val="00057F36"/>
    <w:rsid w:val="0006485F"/>
    <w:rsid w:val="0007225D"/>
    <w:rsid w:val="00072920"/>
    <w:rsid w:val="00073958"/>
    <w:rsid w:val="00077CB2"/>
    <w:rsid w:val="0008323E"/>
    <w:rsid w:val="0008680C"/>
    <w:rsid w:val="00086FC8"/>
    <w:rsid w:val="00090B18"/>
    <w:rsid w:val="00091F6C"/>
    <w:rsid w:val="00093BE0"/>
    <w:rsid w:val="000951E6"/>
    <w:rsid w:val="000A469B"/>
    <w:rsid w:val="000A5758"/>
    <w:rsid w:val="000B3E67"/>
    <w:rsid w:val="000B4A76"/>
    <w:rsid w:val="000B4AEE"/>
    <w:rsid w:val="000B4F2E"/>
    <w:rsid w:val="000B7240"/>
    <w:rsid w:val="000C3920"/>
    <w:rsid w:val="000D16B8"/>
    <w:rsid w:val="000D62CE"/>
    <w:rsid w:val="000D648A"/>
    <w:rsid w:val="000E7259"/>
    <w:rsid w:val="000F05DB"/>
    <w:rsid w:val="000F14F7"/>
    <w:rsid w:val="000F63BF"/>
    <w:rsid w:val="000F7EF2"/>
    <w:rsid w:val="00101CA3"/>
    <w:rsid w:val="00101EBF"/>
    <w:rsid w:val="001105DA"/>
    <w:rsid w:val="001202CD"/>
    <w:rsid w:val="00120872"/>
    <w:rsid w:val="001219FE"/>
    <w:rsid w:val="0012220C"/>
    <w:rsid w:val="00122AE1"/>
    <w:rsid w:val="00124DAE"/>
    <w:rsid w:val="00125DB2"/>
    <w:rsid w:val="00127AEE"/>
    <w:rsid w:val="00135559"/>
    <w:rsid w:val="00142A31"/>
    <w:rsid w:val="001449D7"/>
    <w:rsid w:val="00144F7B"/>
    <w:rsid w:val="0014776A"/>
    <w:rsid w:val="0015513E"/>
    <w:rsid w:val="00156896"/>
    <w:rsid w:val="00156CC6"/>
    <w:rsid w:val="001621F5"/>
    <w:rsid w:val="0016330F"/>
    <w:rsid w:val="00163ACA"/>
    <w:rsid w:val="00175981"/>
    <w:rsid w:val="00175E2A"/>
    <w:rsid w:val="00176BFE"/>
    <w:rsid w:val="00176E01"/>
    <w:rsid w:val="00192CE6"/>
    <w:rsid w:val="00194943"/>
    <w:rsid w:val="00195C12"/>
    <w:rsid w:val="00196DB0"/>
    <w:rsid w:val="001A4B06"/>
    <w:rsid w:val="001A7B7C"/>
    <w:rsid w:val="001A7C37"/>
    <w:rsid w:val="001B7829"/>
    <w:rsid w:val="001B7C87"/>
    <w:rsid w:val="001C165B"/>
    <w:rsid w:val="001C1926"/>
    <w:rsid w:val="001C2658"/>
    <w:rsid w:val="001C2B4C"/>
    <w:rsid w:val="001C6C1D"/>
    <w:rsid w:val="001D7028"/>
    <w:rsid w:val="001E027C"/>
    <w:rsid w:val="001E0AAB"/>
    <w:rsid w:val="001E215E"/>
    <w:rsid w:val="001E65A7"/>
    <w:rsid w:val="001F5E9B"/>
    <w:rsid w:val="002013E0"/>
    <w:rsid w:val="00201894"/>
    <w:rsid w:val="00203163"/>
    <w:rsid w:val="00203A7D"/>
    <w:rsid w:val="00205C52"/>
    <w:rsid w:val="00205E16"/>
    <w:rsid w:val="00217F09"/>
    <w:rsid w:val="002207EC"/>
    <w:rsid w:val="002239B6"/>
    <w:rsid w:val="00223C5C"/>
    <w:rsid w:val="00224DA7"/>
    <w:rsid w:val="00225E48"/>
    <w:rsid w:val="00231ED2"/>
    <w:rsid w:val="0023752E"/>
    <w:rsid w:val="002504EE"/>
    <w:rsid w:val="002515BA"/>
    <w:rsid w:val="0025190E"/>
    <w:rsid w:val="002555B8"/>
    <w:rsid w:val="0025648D"/>
    <w:rsid w:val="00256A52"/>
    <w:rsid w:val="00256F56"/>
    <w:rsid w:val="00266E19"/>
    <w:rsid w:val="0027425D"/>
    <w:rsid w:val="00276164"/>
    <w:rsid w:val="002764BF"/>
    <w:rsid w:val="00285A95"/>
    <w:rsid w:val="00290EBB"/>
    <w:rsid w:val="0029328A"/>
    <w:rsid w:val="002948BD"/>
    <w:rsid w:val="002A10B1"/>
    <w:rsid w:val="002A5250"/>
    <w:rsid w:val="002A681E"/>
    <w:rsid w:val="002A768D"/>
    <w:rsid w:val="002B090C"/>
    <w:rsid w:val="002B5572"/>
    <w:rsid w:val="002B5AA1"/>
    <w:rsid w:val="002C54DF"/>
    <w:rsid w:val="002C7687"/>
    <w:rsid w:val="002D03FC"/>
    <w:rsid w:val="002D0FF8"/>
    <w:rsid w:val="002D3571"/>
    <w:rsid w:val="002D61A3"/>
    <w:rsid w:val="002E10C0"/>
    <w:rsid w:val="002E1C2D"/>
    <w:rsid w:val="002E2463"/>
    <w:rsid w:val="002E5E88"/>
    <w:rsid w:val="002E702B"/>
    <w:rsid w:val="002E71AE"/>
    <w:rsid w:val="002F3D0B"/>
    <w:rsid w:val="002F3F5D"/>
    <w:rsid w:val="002F7648"/>
    <w:rsid w:val="002F7780"/>
    <w:rsid w:val="00300023"/>
    <w:rsid w:val="00300E57"/>
    <w:rsid w:val="00301C09"/>
    <w:rsid w:val="0030437C"/>
    <w:rsid w:val="00305519"/>
    <w:rsid w:val="003121F7"/>
    <w:rsid w:val="00312E81"/>
    <w:rsid w:val="00314D29"/>
    <w:rsid w:val="00317C60"/>
    <w:rsid w:val="00317F3B"/>
    <w:rsid w:val="003233B4"/>
    <w:rsid w:val="00324A90"/>
    <w:rsid w:val="00326305"/>
    <w:rsid w:val="00334038"/>
    <w:rsid w:val="0034002F"/>
    <w:rsid w:val="00340E54"/>
    <w:rsid w:val="00341556"/>
    <w:rsid w:val="00342AF2"/>
    <w:rsid w:val="00352B23"/>
    <w:rsid w:val="00356B50"/>
    <w:rsid w:val="0036481A"/>
    <w:rsid w:val="00366EC0"/>
    <w:rsid w:val="00373778"/>
    <w:rsid w:val="00375A2C"/>
    <w:rsid w:val="00382AC2"/>
    <w:rsid w:val="00383A49"/>
    <w:rsid w:val="003872F1"/>
    <w:rsid w:val="00390EBD"/>
    <w:rsid w:val="0039175B"/>
    <w:rsid w:val="00393529"/>
    <w:rsid w:val="00395F5F"/>
    <w:rsid w:val="003960D4"/>
    <w:rsid w:val="00397D58"/>
    <w:rsid w:val="003A53FE"/>
    <w:rsid w:val="003A6846"/>
    <w:rsid w:val="003A6A7F"/>
    <w:rsid w:val="003B03F7"/>
    <w:rsid w:val="003B0EBC"/>
    <w:rsid w:val="003B373F"/>
    <w:rsid w:val="003B63B3"/>
    <w:rsid w:val="003C3EAE"/>
    <w:rsid w:val="003C506F"/>
    <w:rsid w:val="003C51B9"/>
    <w:rsid w:val="003C53DB"/>
    <w:rsid w:val="003C5F3A"/>
    <w:rsid w:val="003D10FF"/>
    <w:rsid w:val="003D179D"/>
    <w:rsid w:val="003F2CB9"/>
    <w:rsid w:val="003F3F48"/>
    <w:rsid w:val="003F5DA5"/>
    <w:rsid w:val="004005D4"/>
    <w:rsid w:val="00407B61"/>
    <w:rsid w:val="004106B1"/>
    <w:rsid w:val="00411A33"/>
    <w:rsid w:val="00412ACB"/>
    <w:rsid w:val="00415241"/>
    <w:rsid w:val="0042094D"/>
    <w:rsid w:val="004209E6"/>
    <w:rsid w:val="00424A46"/>
    <w:rsid w:val="00431880"/>
    <w:rsid w:val="004319E2"/>
    <w:rsid w:val="00434A99"/>
    <w:rsid w:val="00434CC8"/>
    <w:rsid w:val="00434D1F"/>
    <w:rsid w:val="0043574F"/>
    <w:rsid w:val="004421F3"/>
    <w:rsid w:val="00442422"/>
    <w:rsid w:val="004445CE"/>
    <w:rsid w:val="00445175"/>
    <w:rsid w:val="00447B3E"/>
    <w:rsid w:val="00451FDF"/>
    <w:rsid w:val="00453246"/>
    <w:rsid w:val="004540F1"/>
    <w:rsid w:val="00456A3A"/>
    <w:rsid w:val="00461CFC"/>
    <w:rsid w:val="00465706"/>
    <w:rsid w:val="00466336"/>
    <w:rsid w:val="00467E2A"/>
    <w:rsid w:val="00472688"/>
    <w:rsid w:val="00473D9F"/>
    <w:rsid w:val="00482817"/>
    <w:rsid w:val="00483193"/>
    <w:rsid w:val="004866BA"/>
    <w:rsid w:val="00490AD6"/>
    <w:rsid w:val="00492024"/>
    <w:rsid w:val="0049605E"/>
    <w:rsid w:val="0049642C"/>
    <w:rsid w:val="004A53AF"/>
    <w:rsid w:val="004B0BD8"/>
    <w:rsid w:val="004B4757"/>
    <w:rsid w:val="004C0375"/>
    <w:rsid w:val="004D16F6"/>
    <w:rsid w:val="004D230F"/>
    <w:rsid w:val="004D449D"/>
    <w:rsid w:val="004D4582"/>
    <w:rsid w:val="004D4DBE"/>
    <w:rsid w:val="004D70A5"/>
    <w:rsid w:val="004D72D8"/>
    <w:rsid w:val="004E0C8F"/>
    <w:rsid w:val="004E33E3"/>
    <w:rsid w:val="004E4E69"/>
    <w:rsid w:val="004E4EC2"/>
    <w:rsid w:val="004F0639"/>
    <w:rsid w:val="004F0FE9"/>
    <w:rsid w:val="004F1C69"/>
    <w:rsid w:val="004F665E"/>
    <w:rsid w:val="004F723A"/>
    <w:rsid w:val="00501592"/>
    <w:rsid w:val="0050397C"/>
    <w:rsid w:val="00511B2F"/>
    <w:rsid w:val="00514170"/>
    <w:rsid w:val="0051511F"/>
    <w:rsid w:val="00517295"/>
    <w:rsid w:val="005172B8"/>
    <w:rsid w:val="005200F1"/>
    <w:rsid w:val="005215FB"/>
    <w:rsid w:val="00524BA9"/>
    <w:rsid w:val="005276EE"/>
    <w:rsid w:val="00532918"/>
    <w:rsid w:val="00535F21"/>
    <w:rsid w:val="00541B36"/>
    <w:rsid w:val="00541D24"/>
    <w:rsid w:val="00543936"/>
    <w:rsid w:val="00556E2A"/>
    <w:rsid w:val="00556EBB"/>
    <w:rsid w:val="00560F77"/>
    <w:rsid w:val="00561B97"/>
    <w:rsid w:val="0056326C"/>
    <w:rsid w:val="00563AD1"/>
    <w:rsid w:val="005641E7"/>
    <w:rsid w:val="0056687F"/>
    <w:rsid w:val="00567072"/>
    <w:rsid w:val="005670E5"/>
    <w:rsid w:val="00567C63"/>
    <w:rsid w:val="005710C5"/>
    <w:rsid w:val="005755BA"/>
    <w:rsid w:val="00583030"/>
    <w:rsid w:val="005831D9"/>
    <w:rsid w:val="00591AB9"/>
    <w:rsid w:val="00591C2A"/>
    <w:rsid w:val="00593C93"/>
    <w:rsid w:val="005947DA"/>
    <w:rsid w:val="00596CEA"/>
    <w:rsid w:val="00596DDA"/>
    <w:rsid w:val="005A179F"/>
    <w:rsid w:val="005A21DB"/>
    <w:rsid w:val="005A2BE7"/>
    <w:rsid w:val="005A565D"/>
    <w:rsid w:val="005A5EA8"/>
    <w:rsid w:val="005B5490"/>
    <w:rsid w:val="005B5C1A"/>
    <w:rsid w:val="005C36AE"/>
    <w:rsid w:val="005C7547"/>
    <w:rsid w:val="005E14BB"/>
    <w:rsid w:val="005E268E"/>
    <w:rsid w:val="005E3DBB"/>
    <w:rsid w:val="00602108"/>
    <w:rsid w:val="00610475"/>
    <w:rsid w:val="0061270C"/>
    <w:rsid w:val="00613523"/>
    <w:rsid w:val="00615209"/>
    <w:rsid w:val="00621878"/>
    <w:rsid w:val="0062228D"/>
    <w:rsid w:val="006228D8"/>
    <w:rsid w:val="006254D5"/>
    <w:rsid w:val="00625F3F"/>
    <w:rsid w:val="00625FEB"/>
    <w:rsid w:val="006465D0"/>
    <w:rsid w:val="006471FB"/>
    <w:rsid w:val="00651CB4"/>
    <w:rsid w:val="006532FA"/>
    <w:rsid w:val="00656976"/>
    <w:rsid w:val="006570C1"/>
    <w:rsid w:val="00662EF0"/>
    <w:rsid w:val="0066301D"/>
    <w:rsid w:val="0067336D"/>
    <w:rsid w:val="00674C0A"/>
    <w:rsid w:val="00675B67"/>
    <w:rsid w:val="00683584"/>
    <w:rsid w:val="00684868"/>
    <w:rsid w:val="0069072B"/>
    <w:rsid w:val="00691D12"/>
    <w:rsid w:val="00694FCA"/>
    <w:rsid w:val="00696AE8"/>
    <w:rsid w:val="006A0D53"/>
    <w:rsid w:val="006A19F0"/>
    <w:rsid w:val="006A3FEB"/>
    <w:rsid w:val="006A78CC"/>
    <w:rsid w:val="006B02D8"/>
    <w:rsid w:val="006B3E7A"/>
    <w:rsid w:val="006B7424"/>
    <w:rsid w:val="006C4D43"/>
    <w:rsid w:val="006D024C"/>
    <w:rsid w:val="006D02D6"/>
    <w:rsid w:val="006D08C6"/>
    <w:rsid w:val="006D7084"/>
    <w:rsid w:val="006D7D8D"/>
    <w:rsid w:val="006E082C"/>
    <w:rsid w:val="006E3498"/>
    <w:rsid w:val="006E3752"/>
    <w:rsid w:val="006F2C68"/>
    <w:rsid w:val="006F3036"/>
    <w:rsid w:val="006F3808"/>
    <w:rsid w:val="006F3E3D"/>
    <w:rsid w:val="006F547B"/>
    <w:rsid w:val="006F74F7"/>
    <w:rsid w:val="00702779"/>
    <w:rsid w:val="007079CA"/>
    <w:rsid w:val="0071061D"/>
    <w:rsid w:val="00712B4C"/>
    <w:rsid w:val="007152C1"/>
    <w:rsid w:val="00715789"/>
    <w:rsid w:val="00716B74"/>
    <w:rsid w:val="007204C6"/>
    <w:rsid w:val="007233AB"/>
    <w:rsid w:val="00725743"/>
    <w:rsid w:val="007327FC"/>
    <w:rsid w:val="00733B52"/>
    <w:rsid w:val="00734354"/>
    <w:rsid w:val="00740DC9"/>
    <w:rsid w:val="00745240"/>
    <w:rsid w:val="00746A8E"/>
    <w:rsid w:val="00752FED"/>
    <w:rsid w:val="0075662E"/>
    <w:rsid w:val="00762314"/>
    <w:rsid w:val="00764D30"/>
    <w:rsid w:val="0076603B"/>
    <w:rsid w:val="0076763F"/>
    <w:rsid w:val="00771D14"/>
    <w:rsid w:val="00780237"/>
    <w:rsid w:val="00781C2E"/>
    <w:rsid w:val="0078336A"/>
    <w:rsid w:val="00785F7A"/>
    <w:rsid w:val="00792946"/>
    <w:rsid w:val="007935E3"/>
    <w:rsid w:val="0079607E"/>
    <w:rsid w:val="007A0667"/>
    <w:rsid w:val="007A1774"/>
    <w:rsid w:val="007A277A"/>
    <w:rsid w:val="007A528E"/>
    <w:rsid w:val="007A5318"/>
    <w:rsid w:val="007B0943"/>
    <w:rsid w:val="007B2205"/>
    <w:rsid w:val="007B4058"/>
    <w:rsid w:val="007B61C5"/>
    <w:rsid w:val="007C1189"/>
    <w:rsid w:val="007C4A00"/>
    <w:rsid w:val="007C4F93"/>
    <w:rsid w:val="007C6B16"/>
    <w:rsid w:val="007D090F"/>
    <w:rsid w:val="007D52FE"/>
    <w:rsid w:val="007D59A5"/>
    <w:rsid w:val="007D70CD"/>
    <w:rsid w:val="007E0B59"/>
    <w:rsid w:val="007E5D0D"/>
    <w:rsid w:val="007E7A09"/>
    <w:rsid w:val="007F31C9"/>
    <w:rsid w:val="007F3DD3"/>
    <w:rsid w:val="007F4CC7"/>
    <w:rsid w:val="007F5B5C"/>
    <w:rsid w:val="007F6C1C"/>
    <w:rsid w:val="008008D0"/>
    <w:rsid w:val="008026AD"/>
    <w:rsid w:val="00802723"/>
    <w:rsid w:val="00803879"/>
    <w:rsid w:val="00805763"/>
    <w:rsid w:val="0080712B"/>
    <w:rsid w:val="00811C42"/>
    <w:rsid w:val="00811EC1"/>
    <w:rsid w:val="008142BC"/>
    <w:rsid w:val="008219ED"/>
    <w:rsid w:val="00823E9B"/>
    <w:rsid w:val="00824AAD"/>
    <w:rsid w:val="00826235"/>
    <w:rsid w:val="008279EE"/>
    <w:rsid w:val="00845C0B"/>
    <w:rsid w:val="00850B3A"/>
    <w:rsid w:val="00853C8A"/>
    <w:rsid w:val="008562B8"/>
    <w:rsid w:val="008565E4"/>
    <w:rsid w:val="00861D04"/>
    <w:rsid w:val="0086344A"/>
    <w:rsid w:val="00863A90"/>
    <w:rsid w:val="00864281"/>
    <w:rsid w:val="0087011E"/>
    <w:rsid w:val="00874263"/>
    <w:rsid w:val="00874EEE"/>
    <w:rsid w:val="00880861"/>
    <w:rsid w:val="008819B6"/>
    <w:rsid w:val="00883D6C"/>
    <w:rsid w:val="00884B78"/>
    <w:rsid w:val="00885E07"/>
    <w:rsid w:val="00886207"/>
    <w:rsid w:val="0089050F"/>
    <w:rsid w:val="008954C6"/>
    <w:rsid w:val="008A0382"/>
    <w:rsid w:val="008A25FC"/>
    <w:rsid w:val="008A48E6"/>
    <w:rsid w:val="008A5D58"/>
    <w:rsid w:val="008B44D0"/>
    <w:rsid w:val="008B55A8"/>
    <w:rsid w:val="008C14B3"/>
    <w:rsid w:val="008C1B60"/>
    <w:rsid w:val="008C29F2"/>
    <w:rsid w:val="008C6130"/>
    <w:rsid w:val="008E41E3"/>
    <w:rsid w:val="008E47D6"/>
    <w:rsid w:val="008E520F"/>
    <w:rsid w:val="008E5F3B"/>
    <w:rsid w:val="008E6E85"/>
    <w:rsid w:val="008E70C2"/>
    <w:rsid w:val="008F1CD0"/>
    <w:rsid w:val="008F39E7"/>
    <w:rsid w:val="008F402B"/>
    <w:rsid w:val="00900F23"/>
    <w:rsid w:val="00902666"/>
    <w:rsid w:val="00904259"/>
    <w:rsid w:val="0090510F"/>
    <w:rsid w:val="00906121"/>
    <w:rsid w:val="0090748F"/>
    <w:rsid w:val="00911B82"/>
    <w:rsid w:val="00912D80"/>
    <w:rsid w:val="0091393B"/>
    <w:rsid w:val="00922D32"/>
    <w:rsid w:val="009279F2"/>
    <w:rsid w:val="009304F5"/>
    <w:rsid w:val="009413DA"/>
    <w:rsid w:val="0094656E"/>
    <w:rsid w:val="009569DA"/>
    <w:rsid w:val="00962C18"/>
    <w:rsid w:val="009664C7"/>
    <w:rsid w:val="00966E89"/>
    <w:rsid w:val="009719D6"/>
    <w:rsid w:val="00971B63"/>
    <w:rsid w:val="00974A6C"/>
    <w:rsid w:val="00975EF0"/>
    <w:rsid w:val="009762C2"/>
    <w:rsid w:val="009854C3"/>
    <w:rsid w:val="00991318"/>
    <w:rsid w:val="009919C6"/>
    <w:rsid w:val="00992A22"/>
    <w:rsid w:val="009967B0"/>
    <w:rsid w:val="009971F5"/>
    <w:rsid w:val="0099722D"/>
    <w:rsid w:val="009A0862"/>
    <w:rsid w:val="009A49F4"/>
    <w:rsid w:val="009A4EF0"/>
    <w:rsid w:val="009A4F1F"/>
    <w:rsid w:val="009A51FF"/>
    <w:rsid w:val="009B6296"/>
    <w:rsid w:val="009B65C0"/>
    <w:rsid w:val="009C1CEB"/>
    <w:rsid w:val="009C57C3"/>
    <w:rsid w:val="009D0E36"/>
    <w:rsid w:val="009D30E7"/>
    <w:rsid w:val="009E1E3F"/>
    <w:rsid w:val="009E2324"/>
    <w:rsid w:val="009E2DE9"/>
    <w:rsid w:val="009E6173"/>
    <w:rsid w:val="009E77B1"/>
    <w:rsid w:val="009F09A9"/>
    <w:rsid w:val="009F4D65"/>
    <w:rsid w:val="009F5516"/>
    <w:rsid w:val="00A01304"/>
    <w:rsid w:val="00A17228"/>
    <w:rsid w:val="00A20F0D"/>
    <w:rsid w:val="00A22324"/>
    <w:rsid w:val="00A2522C"/>
    <w:rsid w:val="00A25667"/>
    <w:rsid w:val="00A257E3"/>
    <w:rsid w:val="00A25B33"/>
    <w:rsid w:val="00A261A8"/>
    <w:rsid w:val="00A27507"/>
    <w:rsid w:val="00A30EA4"/>
    <w:rsid w:val="00A32590"/>
    <w:rsid w:val="00A327ED"/>
    <w:rsid w:val="00A34B83"/>
    <w:rsid w:val="00A355BD"/>
    <w:rsid w:val="00A42F52"/>
    <w:rsid w:val="00A43707"/>
    <w:rsid w:val="00A44534"/>
    <w:rsid w:val="00A45A30"/>
    <w:rsid w:val="00A477B9"/>
    <w:rsid w:val="00A47BF7"/>
    <w:rsid w:val="00A506B0"/>
    <w:rsid w:val="00A51748"/>
    <w:rsid w:val="00A517C6"/>
    <w:rsid w:val="00A5699B"/>
    <w:rsid w:val="00A56C12"/>
    <w:rsid w:val="00A5716B"/>
    <w:rsid w:val="00A5764B"/>
    <w:rsid w:val="00A6468C"/>
    <w:rsid w:val="00A6625A"/>
    <w:rsid w:val="00A7462A"/>
    <w:rsid w:val="00A80885"/>
    <w:rsid w:val="00A8181B"/>
    <w:rsid w:val="00A822D3"/>
    <w:rsid w:val="00A8393F"/>
    <w:rsid w:val="00A878CA"/>
    <w:rsid w:val="00A95F31"/>
    <w:rsid w:val="00A96435"/>
    <w:rsid w:val="00AA47FE"/>
    <w:rsid w:val="00AA749A"/>
    <w:rsid w:val="00AB6170"/>
    <w:rsid w:val="00AB70BF"/>
    <w:rsid w:val="00AB71C5"/>
    <w:rsid w:val="00AB72FD"/>
    <w:rsid w:val="00AB7FCA"/>
    <w:rsid w:val="00AC5402"/>
    <w:rsid w:val="00AC64A2"/>
    <w:rsid w:val="00AC7C58"/>
    <w:rsid w:val="00AC7EEF"/>
    <w:rsid w:val="00AE4812"/>
    <w:rsid w:val="00AE7191"/>
    <w:rsid w:val="00AF0236"/>
    <w:rsid w:val="00AF2F28"/>
    <w:rsid w:val="00AF637A"/>
    <w:rsid w:val="00B0434C"/>
    <w:rsid w:val="00B055C1"/>
    <w:rsid w:val="00B0594C"/>
    <w:rsid w:val="00B07B2D"/>
    <w:rsid w:val="00B07C35"/>
    <w:rsid w:val="00B10621"/>
    <w:rsid w:val="00B10AD8"/>
    <w:rsid w:val="00B1192E"/>
    <w:rsid w:val="00B11FE8"/>
    <w:rsid w:val="00B13194"/>
    <w:rsid w:val="00B15099"/>
    <w:rsid w:val="00B165CE"/>
    <w:rsid w:val="00B21482"/>
    <w:rsid w:val="00B24996"/>
    <w:rsid w:val="00B27308"/>
    <w:rsid w:val="00B3389F"/>
    <w:rsid w:val="00B400A6"/>
    <w:rsid w:val="00B414DD"/>
    <w:rsid w:val="00B41640"/>
    <w:rsid w:val="00B44806"/>
    <w:rsid w:val="00B533F9"/>
    <w:rsid w:val="00B55B22"/>
    <w:rsid w:val="00B60841"/>
    <w:rsid w:val="00B71B30"/>
    <w:rsid w:val="00B71C49"/>
    <w:rsid w:val="00B73C41"/>
    <w:rsid w:val="00B7457E"/>
    <w:rsid w:val="00B771BE"/>
    <w:rsid w:val="00B82CA3"/>
    <w:rsid w:val="00B82E6B"/>
    <w:rsid w:val="00B8523A"/>
    <w:rsid w:val="00B869ED"/>
    <w:rsid w:val="00B86FB3"/>
    <w:rsid w:val="00B872A9"/>
    <w:rsid w:val="00B90396"/>
    <w:rsid w:val="00B91B29"/>
    <w:rsid w:val="00B91F04"/>
    <w:rsid w:val="00BB4A9D"/>
    <w:rsid w:val="00BB5196"/>
    <w:rsid w:val="00BD153C"/>
    <w:rsid w:val="00BD4FB5"/>
    <w:rsid w:val="00BE0D4A"/>
    <w:rsid w:val="00BE3037"/>
    <w:rsid w:val="00BE3840"/>
    <w:rsid w:val="00BE58BC"/>
    <w:rsid w:val="00BE75B4"/>
    <w:rsid w:val="00BE7FA3"/>
    <w:rsid w:val="00BF41C3"/>
    <w:rsid w:val="00BF443C"/>
    <w:rsid w:val="00C01CFD"/>
    <w:rsid w:val="00C02BB6"/>
    <w:rsid w:val="00C032D7"/>
    <w:rsid w:val="00C07423"/>
    <w:rsid w:val="00C1378C"/>
    <w:rsid w:val="00C14FA5"/>
    <w:rsid w:val="00C21440"/>
    <w:rsid w:val="00C25959"/>
    <w:rsid w:val="00C318D4"/>
    <w:rsid w:val="00C31AAB"/>
    <w:rsid w:val="00C355B1"/>
    <w:rsid w:val="00C36868"/>
    <w:rsid w:val="00C415DC"/>
    <w:rsid w:val="00C474EF"/>
    <w:rsid w:val="00C50249"/>
    <w:rsid w:val="00C554A1"/>
    <w:rsid w:val="00C560CB"/>
    <w:rsid w:val="00C61AFB"/>
    <w:rsid w:val="00C63237"/>
    <w:rsid w:val="00C67778"/>
    <w:rsid w:val="00C74001"/>
    <w:rsid w:val="00C7525E"/>
    <w:rsid w:val="00C7629A"/>
    <w:rsid w:val="00C86FAA"/>
    <w:rsid w:val="00C92B9E"/>
    <w:rsid w:val="00C94B28"/>
    <w:rsid w:val="00C97E25"/>
    <w:rsid w:val="00CA3129"/>
    <w:rsid w:val="00CA4FD1"/>
    <w:rsid w:val="00CA57F5"/>
    <w:rsid w:val="00CB0266"/>
    <w:rsid w:val="00CB7E9C"/>
    <w:rsid w:val="00CC40DD"/>
    <w:rsid w:val="00CC63A7"/>
    <w:rsid w:val="00CD1A3F"/>
    <w:rsid w:val="00CD2172"/>
    <w:rsid w:val="00CD25A3"/>
    <w:rsid w:val="00CD497A"/>
    <w:rsid w:val="00CE137C"/>
    <w:rsid w:val="00CE28AA"/>
    <w:rsid w:val="00CE4F2D"/>
    <w:rsid w:val="00CE6B6E"/>
    <w:rsid w:val="00CE707C"/>
    <w:rsid w:val="00CE74F0"/>
    <w:rsid w:val="00CE7F6E"/>
    <w:rsid w:val="00CF0CC6"/>
    <w:rsid w:val="00CF1F12"/>
    <w:rsid w:val="00CF3842"/>
    <w:rsid w:val="00CF421E"/>
    <w:rsid w:val="00CF4CC8"/>
    <w:rsid w:val="00CF7783"/>
    <w:rsid w:val="00D0629F"/>
    <w:rsid w:val="00D11329"/>
    <w:rsid w:val="00D12EBC"/>
    <w:rsid w:val="00D13ABE"/>
    <w:rsid w:val="00D144F3"/>
    <w:rsid w:val="00D14892"/>
    <w:rsid w:val="00D213F9"/>
    <w:rsid w:val="00D21B87"/>
    <w:rsid w:val="00D22F3B"/>
    <w:rsid w:val="00D24607"/>
    <w:rsid w:val="00D33B95"/>
    <w:rsid w:val="00D367AC"/>
    <w:rsid w:val="00D379DD"/>
    <w:rsid w:val="00D37E81"/>
    <w:rsid w:val="00D40158"/>
    <w:rsid w:val="00D419DC"/>
    <w:rsid w:val="00D42C2C"/>
    <w:rsid w:val="00D43C46"/>
    <w:rsid w:val="00D43D17"/>
    <w:rsid w:val="00D45F7D"/>
    <w:rsid w:val="00D53686"/>
    <w:rsid w:val="00D61081"/>
    <w:rsid w:val="00D61428"/>
    <w:rsid w:val="00D61C12"/>
    <w:rsid w:val="00D62A9A"/>
    <w:rsid w:val="00D70B29"/>
    <w:rsid w:val="00D7156A"/>
    <w:rsid w:val="00D71592"/>
    <w:rsid w:val="00D71D04"/>
    <w:rsid w:val="00D83AF1"/>
    <w:rsid w:val="00D87D01"/>
    <w:rsid w:val="00D919FE"/>
    <w:rsid w:val="00D91B6A"/>
    <w:rsid w:val="00D92590"/>
    <w:rsid w:val="00D9579C"/>
    <w:rsid w:val="00D96BD9"/>
    <w:rsid w:val="00D97B76"/>
    <w:rsid w:val="00DA041F"/>
    <w:rsid w:val="00DA1236"/>
    <w:rsid w:val="00DA5FAD"/>
    <w:rsid w:val="00DA6210"/>
    <w:rsid w:val="00DB40AC"/>
    <w:rsid w:val="00DB7274"/>
    <w:rsid w:val="00DC73AD"/>
    <w:rsid w:val="00DD16C4"/>
    <w:rsid w:val="00DD1DDA"/>
    <w:rsid w:val="00DD3DE9"/>
    <w:rsid w:val="00DD4E41"/>
    <w:rsid w:val="00DD62EC"/>
    <w:rsid w:val="00DD7133"/>
    <w:rsid w:val="00DD7E2F"/>
    <w:rsid w:val="00DE0504"/>
    <w:rsid w:val="00DE2729"/>
    <w:rsid w:val="00DE4ED0"/>
    <w:rsid w:val="00DE5F82"/>
    <w:rsid w:val="00DE60C7"/>
    <w:rsid w:val="00DE7AD5"/>
    <w:rsid w:val="00DF470C"/>
    <w:rsid w:val="00DF4815"/>
    <w:rsid w:val="00DF5292"/>
    <w:rsid w:val="00DF762D"/>
    <w:rsid w:val="00E00BBB"/>
    <w:rsid w:val="00E11129"/>
    <w:rsid w:val="00E13241"/>
    <w:rsid w:val="00E14637"/>
    <w:rsid w:val="00E1693B"/>
    <w:rsid w:val="00E223F8"/>
    <w:rsid w:val="00E235D4"/>
    <w:rsid w:val="00E236CA"/>
    <w:rsid w:val="00E24014"/>
    <w:rsid w:val="00E262D7"/>
    <w:rsid w:val="00E30CC4"/>
    <w:rsid w:val="00E333E5"/>
    <w:rsid w:val="00E35C03"/>
    <w:rsid w:val="00E3648D"/>
    <w:rsid w:val="00E44F6F"/>
    <w:rsid w:val="00E45EBE"/>
    <w:rsid w:val="00E45F24"/>
    <w:rsid w:val="00E45FA0"/>
    <w:rsid w:val="00E464BC"/>
    <w:rsid w:val="00E46ACA"/>
    <w:rsid w:val="00E545E8"/>
    <w:rsid w:val="00E559EE"/>
    <w:rsid w:val="00E60BFC"/>
    <w:rsid w:val="00E610CC"/>
    <w:rsid w:val="00E7309F"/>
    <w:rsid w:val="00E81ACD"/>
    <w:rsid w:val="00E82DB4"/>
    <w:rsid w:val="00E8569D"/>
    <w:rsid w:val="00E8622B"/>
    <w:rsid w:val="00E903CC"/>
    <w:rsid w:val="00E904E7"/>
    <w:rsid w:val="00E9182F"/>
    <w:rsid w:val="00E948AF"/>
    <w:rsid w:val="00E95AE6"/>
    <w:rsid w:val="00EA09BF"/>
    <w:rsid w:val="00EA0EE6"/>
    <w:rsid w:val="00EA5DEE"/>
    <w:rsid w:val="00EA7A9E"/>
    <w:rsid w:val="00EA7ED6"/>
    <w:rsid w:val="00EB66ED"/>
    <w:rsid w:val="00EB67C0"/>
    <w:rsid w:val="00EC0C1A"/>
    <w:rsid w:val="00EC188E"/>
    <w:rsid w:val="00EC3631"/>
    <w:rsid w:val="00EC5E13"/>
    <w:rsid w:val="00ED405C"/>
    <w:rsid w:val="00ED500B"/>
    <w:rsid w:val="00ED70AE"/>
    <w:rsid w:val="00EE1909"/>
    <w:rsid w:val="00EE501B"/>
    <w:rsid w:val="00EF3DA5"/>
    <w:rsid w:val="00EF5117"/>
    <w:rsid w:val="00EF587E"/>
    <w:rsid w:val="00EF7114"/>
    <w:rsid w:val="00F001C4"/>
    <w:rsid w:val="00F016BE"/>
    <w:rsid w:val="00F02B65"/>
    <w:rsid w:val="00F042C6"/>
    <w:rsid w:val="00F07E9C"/>
    <w:rsid w:val="00F12A0F"/>
    <w:rsid w:val="00F178AB"/>
    <w:rsid w:val="00F206AC"/>
    <w:rsid w:val="00F22DA2"/>
    <w:rsid w:val="00F2517E"/>
    <w:rsid w:val="00F25CDC"/>
    <w:rsid w:val="00F30C12"/>
    <w:rsid w:val="00F3166B"/>
    <w:rsid w:val="00F35F40"/>
    <w:rsid w:val="00F40715"/>
    <w:rsid w:val="00F50F96"/>
    <w:rsid w:val="00F54D25"/>
    <w:rsid w:val="00F55F9B"/>
    <w:rsid w:val="00F60FFB"/>
    <w:rsid w:val="00F61DBF"/>
    <w:rsid w:val="00F638CF"/>
    <w:rsid w:val="00F722EE"/>
    <w:rsid w:val="00F72980"/>
    <w:rsid w:val="00F73F83"/>
    <w:rsid w:val="00F75DD1"/>
    <w:rsid w:val="00F833BB"/>
    <w:rsid w:val="00F83F75"/>
    <w:rsid w:val="00F858B3"/>
    <w:rsid w:val="00F86C8B"/>
    <w:rsid w:val="00F872FA"/>
    <w:rsid w:val="00F87E79"/>
    <w:rsid w:val="00F92402"/>
    <w:rsid w:val="00F92454"/>
    <w:rsid w:val="00F932DE"/>
    <w:rsid w:val="00FA084A"/>
    <w:rsid w:val="00FA0C49"/>
    <w:rsid w:val="00FA10FA"/>
    <w:rsid w:val="00FA2D3A"/>
    <w:rsid w:val="00FA4B87"/>
    <w:rsid w:val="00FB064B"/>
    <w:rsid w:val="00FB5011"/>
    <w:rsid w:val="00FD1FFE"/>
    <w:rsid w:val="00FD4024"/>
    <w:rsid w:val="00FD56AC"/>
    <w:rsid w:val="00FD5FE4"/>
    <w:rsid w:val="00FD6E0E"/>
    <w:rsid w:val="00FD71ED"/>
    <w:rsid w:val="00FD739B"/>
    <w:rsid w:val="00FE3713"/>
    <w:rsid w:val="00FE3FC5"/>
    <w:rsid w:val="00FE53F4"/>
    <w:rsid w:val="00FF2243"/>
    <w:rsid w:val="00FF321B"/>
    <w:rsid w:val="00FF4A7E"/>
    <w:rsid w:val="46B15B3D"/>
    <w:rsid w:val="766E6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5"/>
    <w:qFormat/>
    <w:uiPriority w:val="0"/>
    <w:rPr>
      <w:szCs w:val="18"/>
    </w:rPr>
  </w:style>
  <w:style w:type="paragraph" w:styleId="15">
    <w:name w:val="footer"/>
    <w:basedOn w:val="1"/>
    <w:link w:val="27"/>
    <w:qFormat/>
    <w:uiPriority w:val="99"/>
    <w:pPr>
      <w:tabs>
        <w:tab w:val="center" w:pos="4153"/>
        <w:tab w:val="right" w:pos="8306"/>
      </w:tabs>
      <w:snapToGrid w:val="0"/>
    </w:pPr>
    <w:rPr>
      <w:szCs w:val="18"/>
    </w:rPr>
  </w:style>
  <w:style w:type="paragraph" w:styleId="16">
    <w:name w:val="header"/>
    <w:basedOn w:val="1"/>
    <w:link w:val="28"/>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paragraph" w:styleId="23">
    <w:name w:val="List Paragraph"/>
    <w:basedOn w:val="1"/>
    <w:qFormat/>
    <w:uiPriority w:val="34"/>
    <w:pPr>
      <w:widowControl w:val="0"/>
      <w:ind w:firstLine="420" w:firstLineChars="200"/>
      <w:jc w:val="both"/>
    </w:pPr>
    <w:rPr>
      <w:rFonts w:ascii="Calibri" w:hAnsi="Calibri"/>
      <w:kern w:val="2"/>
      <w:szCs w:val="22"/>
      <w:lang w:val="en-US"/>
    </w:rPr>
  </w:style>
  <w:style w:type="paragraph" w:customStyle="1" w:styleId="24">
    <w:name w:val="TOC Heading"/>
    <w:basedOn w:val="2"/>
    <w:next w:val="1"/>
    <w:qFormat/>
    <w:uiPriority w:val="39"/>
    <w:pPr>
      <w:keepLines/>
      <w:numPr>
        <w:numId w:val="0"/>
      </w:numPr>
      <w:kinsoku/>
      <w:spacing w:before="480" w:after="0" w:line="276" w:lineRule="auto"/>
      <w:outlineLvl w:val="9"/>
    </w:pPr>
    <w:rPr>
      <w:rFonts w:ascii="Cambria" w:hAnsi="Cambria"/>
      <w:color w:val="365F91"/>
      <w:kern w:val="0"/>
    </w:rPr>
  </w:style>
  <w:style w:type="character" w:customStyle="1" w:styleId="25">
    <w:name w:val="批注框文本 字符"/>
    <w:link w:val="14"/>
    <w:qFormat/>
    <w:uiPriority w:val="0"/>
    <w:rPr>
      <w:sz w:val="18"/>
      <w:szCs w:val="18"/>
      <w:lang w:val="en-GB"/>
    </w:rPr>
  </w:style>
  <w:style w:type="character" w:styleId="26">
    <w:name w:val="Placeholder Text"/>
    <w:semiHidden/>
    <w:qFormat/>
    <w:uiPriority w:val="99"/>
    <w:rPr>
      <w:color w:val="808080"/>
    </w:rPr>
  </w:style>
  <w:style w:type="character" w:customStyle="1" w:styleId="27">
    <w:name w:val="页脚 字符"/>
    <w:link w:val="15"/>
    <w:qFormat/>
    <w:uiPriority w:val="99"/>
    <w:rPr>
      <w:sz w:val="18"/>
      <w:szCs w:val="18"/>
      <w:lang w:val="en-GB"/>
    </w:rPr>
  </w:style>
  <w:style w:type="character" w:customStyle="1" w:styleId="28">
    <w:name w:val="页眉 字符"/>
    <w:link w:val="16"/>
    <w:qFormat/>
    <w:uiPriority w:val="0"/>
    <w:rPr>
      <w:sz w:val="18"/>
      <w:szCs w:val="18"/>
      <w:lang w:val="en-GB"/>
    </w:rPr>
  </w:style>
  <w:style w:type="character" w:customStyle="1" w:styleId="29">
    <w:name w:val="封面表格 字符"/>
    <w:basedOn w:val="21"/>
    <w:link w:val="30"/>
    <w:qFormat/>
    <w:locked/>
    <w:uiPriority w:val="0"/>
    <w:rPr>
      <w:rFonts w:ascii="微软雅黑" w:hAnsi="微软雅黑" w:eastAsia="微软雅黑" w:cs="微软雅黑"/>
      <w:sz w:val="24"/>
      <w:szCs w:val="24"/>
      <w:lang w:val="en-GB"/>
    </w:rPr>
  </w:style>
  <w:style w:type="paragraph" w:customStyle="1" w:styleId="30">
    <w:name w:val="封面表格"/>
    <w:basedOn w:val="1"/>
    <w:link w:val="29"/>
    <w:qFormat/>
    <w:uiPriority w:val="0"/>
    <w:rPr>
      <w:sz w:val="24"/>
      <w:szCs w:val="24"/>
    </w:rPr>
  </w:style>
  <w:style w:type="character" w:customStyle="1" w:styleId="31">
    <w:name w:val="封面页尾 字符"/>
    <w:basedOn w:val="21"/>
    <w:link w:val="32"/>
    <w:qFormat/>
    <w:locked/>
    <w:uiPriority w:val="0"/>
    <w:rPr>
      <w:rFonts w:ascii="微软雅黑" w:hAnsi="微软雅黑" w:eastAsia="微软雅黑" w:cs="微软雅黑"/>
      <w:sz w:val="18"/>
      <w:lang w:val="en-GB"/>
    </w:rPr>
  </w:style>
  <w:style w:type="paragraph" w:customStyle="1" w:styleId="32">
    <w:name w:val="封面页尾"/>
    <w:basedOn w:val="1"/>
    <w:link w:val="31"/>
    <w:qFormat/>
    <w:uiPriority w:val="0"/>
    <w:pPr>
      <w:spacing w:line="240" w:lineRule="exact"/>
    </w:pPr>
    <w:rPr>
      <w:sz w:val="18"/>
      <w:szCs w:val="20"/>
    </w:rPr>
  </w:style>
  <w:style w:type="character" w:customStyle="1" w:styleId="33">
    <w:name w:val="封面信息 字符"/>
    <w:basedOn w:val="29"/>
    <w:link w:val="34"/>
    <w:qFormat/>
    <w:locked/>
    <w:uiPriority w:val="0"/>
    <w:rPr>
      <w:rFonts w:ascii="微软雅黑" w:hAnsi="微软雅黑" w:eastAsia="微软雅黑" w:cs="微软雅黑"/>
      <w:sz w:val="32"/>
      <w:szCs w:val="32"/>
      <w:lang w:val="en-GB"/>
    </w:rPr>
  </w:style>
  <w:style w:type="paragraph" w:customStyle="1" w:styleId="34">
    <w:name w:val="封面信息"/>
    <w:basedOn w:val="30"/>
    <w:link w:val="33"/>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oleObject" Target="embeddings/oleObject1.bin"/><Relationship Id="rId7" Type="http://schemas.openxmlformats.org/officeDocument/2006/relationships/image" Target="media/image3.png"/><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8.png"/><Relationship Id="rId15" Type="http://schemas.openxmlformats.org/officeDocument/2006/relationships/image" Target="media/image7.wmf"/><Relationship Id="rId14" Type="http://schemas.openxmlformats.org/officeDocument/2006/relationships/oleObject" Target="embeddings/oleObject4.bin"/><Relationship Id="rId13" Type="http://schemas.openxmlformats.org/officeDocument/2006/relationships/image" Target="media/image6.wmf"/><Relationship Id="rId12" Type="http://schemas.openxmlformats.org/officeDocument/2006/relationships/oleObject" Target="embeddings/oleObject3.bin"/><Relationship Id="rId11" Type="http://schemas.openxmlformats.org/officeDocument/2006/relationships/image" Target="media/image5.wmf"/><Relationship Id="rId10" Type="http://schemas.openxmlformats.org/officeDocument/2006/relationships/oleObject" Target="embeddings/oleObject2.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s\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5</Pages>
  <Words>659</Words>
  <Characters>760</Characters>
  <Lines>6</Lines>
  <Paragraphs>1</Paragraphs>
  <TotalTime>200</TotalTime>
  <ScaleCrop>false</ScaleCrop>
  <LinksUpToDate>false</LinksUpToDate>
  <CharactersWithSpaces>784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2026-03-20T05:19:00Z</dcterms:created>
  <dc:creator>jws</dc:creator>
  <cp:lastModifiedBy>jws</cp:lastModifiedBy>
  <dcterms:modified xsi:type="dcterms:W3CDTF">2026-03-20T05:20:33Z</dcterms:modified>
  <dc:title>居住建筑通风开口面积计算书</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2052-12.1.0.23542</vt:lpwstr>
  </property>
  <property fmtid="{D5CDD505-2E9C-101B-9397-08002B2CF9AE}" pid="4" name="ICV">
    <vt:lpwstr>C933F39279C745EABEBEE1D2025AED56_11</vt:lpwstr>
  </property>
</Properties>
</file>