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D8E4B">
      <w:pPr>
        <w:pStyle w:val="2"/>
        <w:jc w:val="center"/>
      </w:pPr>
    </w:p>
    <w:p w14:paraId="1E6E6FBA">
      <w:pPr>
        <w:pStyle w:val="2"/>
        <w:jc w:val="center"/>
      </w:pPr>
    </w:p>
    <w:p w14:paraId="0F0A2A3B">
      <w:pPr>
        <w:pStyle w:val="2"/>
        <w:jc w:val="center"/>
      </w:pPr>
    </w:p>
    <w:p w14:paraId="0A92F599">
      <w:pPr>
        <w:pStyle w:val="2"/>
        <w:jc w:val="center"/>
      </w:pPr>
      <w:r>
        <w:rPr>
          <w:rFonts w:hint="eastAsia"/>
          <w:lang w:val="en-US" w:eastAsia="zh-CN"/>
        </w:rPr>
        <w:t>风光绿链·城市新港</w:t>
      </w:r>
    </w:p>
    <w:p w14:paraId="515EA486"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 w14:paraId="2828D959">
      <w:pPr>
        <w:rPr>
          <w:kern w:val="44"/>
          <w:sz w:val="44"/>
          <w:szCs w:val="44"/>
        </w:rPr>
      </w:pPr>
      <w:r>
        <w:br w:type="page"/>
      </w:r>
    </w:p>
    <w:p w14:paraId="4F5B1CD5">
      <w:pPr>
        <w:pStyle w:val="3"/>
        <w:rPr>
          <w:rStyle w:val="13"/>
          <w:i w:val="0"/>
          <w:iCs w:val="0"/>
          <w:color w:val="auto"/>
        </w:rPr>
      </w:pPr>
      <w:r>
        <w:rPr>
          <w:rStyle w:val="13"/>
          <w:rFonts w:hint="eastAsia"/>
          <w:i w:val="0"/>
          <w:iCs w:val="0"/>
          <w:color w:val="auto"/>
        </w:rPr>
        <w:t>1</w:t>
      </w:r>
      <w:r>
        <w:rPr>
          <w:rStyle w:val="13"/>
          <w:i w:val="0"/>
          <w:iCs w:val="0"/>
          <w:color w:val="auto"/>
        </w:rPr>
        <w:t xml:space="preserve"> </w:t>
      </w:r>
      <w:r>
        <w:rPr>
          <w:rStyle w:val="13"/>
          <w:rFonts w:hint="eastAsia"/>
          <w:i w:val="0"/>
          <w:iCs w:val="0"/>
          <w:color w:val="auto"/>
        </w:rPr>
        <w:t>项目</w:t>
      </w:r>
      <w:r>
        <w:rPr>
          <w:rStyle w:val="13"/>
          <w:i w:val="0"/>
          <w:iCs w:val="0"/>
          <w:color w:val="auto"/>
        </w:rPr>
        <w:t>概况</w:t>
      </w:r>
    </w:p>
    <w:p w14:paraId="4F9741EE"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>：</w:t>
      </w:r>
      <w:r>
        <w:rPr>
          <w:rFonts w:hint="eastAsia"/>
          <w:sz w:val="24"/>
        </w:rPr>
        <w:t>风光绿链·城市新港——双碳目标下的城市文化展厅设计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项目位于</w:t>
      </w:r>
      <w:r>
        <w:rPr>
          <w:rFonts w:hint="eastAsia"/>
          <w:sz w:val="24"/>
        </w:rPr>
        <w:t>广州市南沙区东涌镇东北部庆盛枢纽区块，</w:t>
      </w:r>
      <w:r>
        <w:rPr>
          <w:sz w:val="24"/>
        </w:rPr>
        <w:t>。该项目总用地面积为</w:t>
      </w:r>
      <w:r>
        <w:rPr>
          <w:rFonts w:hint="eastAsia"/>
          <w:sz w:val="24"/>
          <w:lang w:val="en-US" w:eastAsia="zh-CN"/>
        </w:rPr>
        <w:t>2800</w:t>
      </w:r>
      <w:r>
        <w:rPr>
          <w:sz w:val="24"/>
        </w:rPr>
        <w:t>平方米，建筑面积为</w:t>
      </w:r>
      <w:r>
        <w:rPr>
          <w:rFonts w:hint="eastAsia"/>
          <w:sz w:val="24"/>
          <w:lang w:val="en-US" w:eastAsia="zh-CN"/>
        </w:rPr>
        <w:t>7539</w:t>
      </w:r>
      <w:r>
        <w:rPr>
          <w:sz w:val="24"/>
        </w:rPr>
        <w:t>平方米。</w:t>
      </w:r>
    </w:p>
    <w:p w14:paraId="3F9C020B"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4500245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7BB3"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 w14:paraId="29BB22B7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79FECAA6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</w:t>
      </w:r>
      <w:r>
        <w:rPr>
          <w:rFonts w:hint="eastAsia"/>
          <w:sz w:val="24"/>
        </w:rPr>
        <w:t>（2</w:t>
      </w:r>
      <w:r>
        <w:rPr>
          <w:sz w:val="24"/>
        </w:rPr>
        <w:t>024</w:t>
      </w:r>
      <w:r>
        <w:rPr>
          <w:rFonts w:hint="eastAsia"/>
          <w:sz w:val="24"/>
        </w:rPr>
        <w:t>年版）</w:t>
      </w:r>
      <w:r>
        <w:rPr>
          <w:sz w:val="24"/>
        </w:rPr>
        <w:t>第7.2.3 条明确要求：</w:t>
      </w:r>
    </w:p>
    <w:p w14:paraId="6DCE9FA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37CC519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7511520E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50AFCC3B">
      <w:pPr>
        <w:ind w:firstLine="420"/>
        <w:rPr>
          <w:rFonts w:asciiTheme="minorEastAsia" w:hAnsiTheme="minorEastAsia"/>
          <w:sz w:val="24"/>
          <w:szCs w:val="21"/>
        </w:rPr>
      </w:pPr>
    </w:p>
    <w:p w14:paraId="39D29644"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66E1C6CB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16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>个</w:t>
      </w:r>
    </w:p>
    <w:p w14:paraId="7D2803F3">
      <w:pPr>
        <w:ind w:firstLine="420"/>
      </w:pPr>
    </w:p>
    <w:p w14:paraId="53517852"/>
    <w:p w14:paraId="49F99EF9">
      <w:pPr>
        <w:ind w:firstLine="420"/>
      </w:pPr>
      <w:r>
        <w:rPr>
          <w:rFonts w:hint="eastAsia"/>
        </w:rPr>
        <w:t>地面停车率=地面停车占地面积/总建设用地面积</w:t>
      </w:r>
    </w:p>
    <w:p w14:paraId="5764AB2A">
      <w:pPr>
        <w:ind w:left="1260" w:firstLine="210" w:firstLineChars="100"/>
      </w:pPr>
    </w:p>
    <w:p w14:paraId="643D0138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240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/   </w:t>
      </w:r>
      <w:r>
        <w:rPr>
          <w:rFonts w:hint="eastAsia"/>
          <w:u w:val="single"/>
          <w:lang w:val="en-US" w:eastAsia="zh-CN"/>
        </w:rPr>
        <w:t>2991</w:t>
      </w:r>
      <w:r>
        <w:rPr>
          <w:rFonts w:hint="eastAsia"/>
          <w:u w:val="single"/>
        </w:rPr>
        <w:t xml:space="preserve">   </w:t>
      </w:r>
      <w:r>
        <w:t xml:space="preserve">  =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8</w:t>
      </w:r>
      <w:r>
        <w:rPr>
          <w:u w:val="single"/>
        </w:rPr>
        <w:t xml:space="preserve">   </w:t>
      </w:r>
    </w:p>
    <w:p w14:paraId="1DC2514C">
      <w:pPr>
        <w:rPr>
          <w:u w:val="single"/>
        </w:rPr>
      </w:pPr>
    </w:p>
    <w:p w14:paraId="60946140">
      <w:pPr>
        <w:rPr>
          <w:u w:val="single"/>
        </w:rPr>
      </w:pPr>
    </w:p>
    <w:p w14:paraId="6E24CB35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63AE7964">
      <w:pPr>
        <w:rPr>
          <w:rFonts w:asciiTheme="minorEastAsia" w:hAnsiTheme="minorEastAsia"/>
          <w:sz w:val="24"/>
          <w:szCs w:val="21"/>
        </w:rPr>
      </w:pPr>
      <w:r>
        <w:tab/>
      </w:r>
      <w:r>
        <w:rPr>
          <w:rFonts w:hint="eastAsia" w:asciiTheme="minorEastAsia" w:hAnsiTheme="minorEastAsia"/>
          <w:sz w:val="24"/>
          <w:szCs w:val="21"/>
        </w:rPr>
        <w:t>经验算</w:t>
      </w:r>
      <w:r>
        <w:rPr>
          <w:rFonts w:asciiTheme="minorEastAsia" w:hAnsiTheme="minorEastAsia"/>
          <w:sz w:val="24"/>
          <w:szCs w:val="21"/>
        </w:rPr>
        <w:t>，</w:t>
      </w:r>
      <w:r>
        <w:rPr>
          <w:rFonts w:hint="eastAsia" w:asciiTheme="minorEastAsia" w:hAnsiTheme="minorEastAsia"/>
          <w:sz w:val="24"/>
          <w:szCs w:val="21"/>
        </w:rPr>
        <w:t xml:space="preserve">公共建筑地面停车占地面积与其总建设用地面积的比率为 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8%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1"/>
        </w:rPr>
        <w:t xml:space="preserve">  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 w14:paraId="23DB9C56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3B2C32"/>
    <w:rsid w:val="00427EC4"/>
    <w:rsid w:val="00625AA6"/>
    <w:rsid w:val="00D221CD"/>
    <w:rsid w:val="00D35CD4"/>
    <w:rsid w:val="00E94094"/>
    <w:rsid w:val="625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字符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字符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页眉 字符"/>
    <w:basedOn w:val="9"/>
    <w:link w:val="5"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</Words>
  <Characters>334</Characters>
  <Lines>3</Lines>
  <Paragraphs>1</Paragraphs>
  <TotalTime>17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WPS_1599230782</cp:lastModifiedBy>
  <dcterms:modified xsi:type="dcterms:W3CDTF">2026-03-14T15:43:15Z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eyJoZGlkIjoiNTQzYTE0MWQ2ZTUyNDRlNTFmMTk1ZGUyZDNjYTAxMDAiLCJ1c2VySWQiOiIxMDgxNDkyNDI1In0=</vt:lpwstr>
  </property>
  <property fmtid="{D5CDD505-2E9C-101B-9397-08002B2CF9AE}" pid="3" name="KSOProductBuildVer">
    <vt:lpwstr>2052-12.1.0.23542</vt:lpwstr>
  </property>
  <property fmtid="{D5CDD505-2E9C-101B-9397-08002B2CF9AE}" pid="4" name="ICV">
    <vt:lpwstr>36C3AAF4F89146BDB0B7ADEC6F9E6AA2_12</vt:lpwstr>
  </property>
</Properties>
</file>