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防排气倒灌相关产品性能检测报告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报告编号</w:t>
      </w:r>
      <w:r>
        <w:rPr>
          <w:rFonts w:ascii="Arial" w:hAnsi="Arial" w:eastAsia="等线" w:cs="Arial"/>
          <w:sz w:val="22"/>
        </w:rPr>
        <w:t>：FJPG-20251229-ZZ01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工程名称</w:t>
      </w:r>
      <w:r>
        <w:rPr>
          <w:rFonts w:ascii="Arial" w:hAnsi="Arial" w:eastAsia="等线" w:cs="Arial"/>
          <w:sz w:val="22"/>
        </w:rPr>
        <w:t>：[可填写具体项目名称]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工程地点</w:t>
      </w:r>
      <w:r>
        <w:rPr>
          <w:rFonts w:ascii="Arial" w:hAnsi="Arial" w:eastAsia="等线" w:cs="Arial"/>
          <w:sz w:val="22"/>
        </w:rPr>
        <w:t>：郑州市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委托单位</w:t>
      </w:r>
      <w:r>
        <w:rPr>
          <w:rFonts w:ascii="Arial" w:hAnsi="Arial" w:eastAsia="等线" w:cs="Arial"/>
          <w:sz w:val="22"/>
        </w:rPr>
        <w:t>：[可填写委托单位全称]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检测单位</w:t>
      </w:r>
      <w:r>
        <w:rPr>
          <w:rFonts w:ascii="Arial" w:hAnsi="Arial" w:eastAsia="等线" w:cs="Arial"/>
          <w:sz w:val="22"/>
        </w:rPr>
        <w:t>：[可填写检测机构全称]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检测日期</w:t>
      </w:r>
      <w:r>
        <w:rPr>
          <w:rFonts w:ascii="Arial" w:hAnsi="Arial" w:eastAsia="等线" w:cs="Arial"/>
          <w:sz w:val="22"/>
        </w:rPr>
        <w:t>：2025年12月29日</w:t>
      </w:r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报告日期</w:t>
      </w:r>
      <w:r>
        <w:rPr>
          <w:rFonts w:ascii="Arial" w:hAnsi="Arial" w:eastAsia="等线" w:cs="Arial"/>
          <w:sz w:val="22"/>
        </w:rPr>
        <w:t>：2025年12月30日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一、检测依据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《绿色建筑评价标准》GB/T 50378-2019（2024年版）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《建筑通风效果测试与评价标准》JGJ/T 309—2013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《建筑通风和排烟系统用阀门》GB/T 15930-2008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产品设计技术文件及项目专项要求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二、检测产品概况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适用区域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核心规格/功能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检测批次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卫生间止回排气阀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卫生间竖向排风道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重力式结构，适配DN150排风道，密封等级≥4级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第1批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防倒灌排风风帽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卫生间排风出口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不锈钢材质，防雨+防倒灌双功能，抗风等级8级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第1批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机械式联动止回阀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复印打印室排风管道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与排风机联动，断电自动关闭，耐臭氧腐蚀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第1批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厨房油烟排风止回阀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厨房排风竖井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耐高温200℃，适配油烟净化器出口，防油烟粘连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第1批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三、检测项目与方法</w:t>
      </w:r>
      <w:bookmarkEnd w:id="2"/>
    </w:p>
    <w:p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（一）通用检测项目</w:t>
      </w:r>
      <w:bookmarkEnd w:id="3"/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密封性能</w:t>
      </w:r>
      <w:r>
        <w:rPr>
          <w:rFonts w:ascii="Arial" w:hAnsi="Arial" w:eastAsia="等线" w:cs="Arial"/>
          <w:sz w:val="22"/>
        </w:rPr>
        <w:t>：在150Pa静压差下，采用风量仪测试阀门关闭状态下的漏风量，要求漏风量≤5m³/(h·m)。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启闭性能</w:t>
      </w:r>
      <w:r>
        <w:rPr>
          <w:rFonts w:ascii="Arial" w:hAnsi="Arial" w:eastAsia="等线" w:cs="Arial"/>
          <w:sz w:val="22"/>
        </w:rPr>
        <w:t>：模拟额定风速（3~8m/s）工况，循环测试500次，检查阀门开启灵活、关闭到位，无卡滞、失效。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耐压性能</w:t>
      </w:r>
      <w:r>
        <w:rPr>
          <w:rFonts w:ascii="Arial" w:hAnsi="Arial" w:eastAsia="等线" w:cs="Arial"/>
          <w:sz w:val="22"/>
        </w:rPr>
        <w:t>：施加±300Pa压力，保压30min，产品无变形、开裂或泄漏。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环境适应性</w:t>
      </w:r>
      <w:r>
        <w:rPr>
          <w:rFonts w:ascii="Arial" w:hAnsi="Arial" w:eastAsia="等线" w:cs="Arial"/>
          <w:sz w:val="22"/>
        </w:rPr>
        <w:t>：</w:t>
      </w:r>
    </w:p>
    <w:p>
      <w:pPr>
        <w:numPr>
          <w:ilvl w:val="0"/>
          <w:numId w:val="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卫生间/厨房产品：85℃、90%湿度环境下老化72h，性能无衰减；</w:t>
      </w:r>
    </w:p>
    <w:p>
      <w:pPr>
        <w:numPr>
          <w:ilvl w:val="0"/>
          <w:numId w:val="1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复印打印室产品：臭氧浓度0.1ppm环境下暴露48h，无腐蚀、密封失效。</w:t>
      </w:r>
    </w:p>
    <w:p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（二）专项检测项目</w:t>
      </w:r>
      <w:bookmarkEnd w:id="4"/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防倒灌性能</w:t>
      </w:r>
      <w:r>
        <w:rPr>
          <w:rFonts w:ascii="Arial" w:hAnsi="Arial" w:eastAsia="等线" w:cs="Arial"/>
          <w:sz w:val="22"/>
        </w:rPr>
        <w:t>：模拟室外0</w:t>
      </w:r>
      <w:r>
        <w:rPr>
          <w:rFonts w:ascii="Arial" w:hAnsi="Arial" w:eastAsia="等线" w:cs="Arial"/>
          <w:sz w:val="22"/>
          <w:u w:val="single"/>
        </w:rPr>
        <w:t>10m/s、0°</w:t>
      </w:r>
      <w:r>
        <w:rPr>
          <w:rFonts w:ascii="Arial" w:hAnsi="Arial" w:eastAsia="等线" w:cs="Arial"/>
          <w:sz w:val="22"/>
        </w:rPr>
        <w:t>360°风向，检测无气流倒灌进入室内；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联动功能（复印打印室）</w:t>
      </w:r>
      <w:r>
        <w:rPr>
          <w:rFonts w:ascii="Arial" w:hAnsi="Arial" w:eastAsia="等线" w:cs="Arial"/>
          <w:sz w:val="22"/>
        </w:rPr>
        <w:t>：风机启停时，阀门响应时间≤2s，断电后1s内自动关闭；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耐高温性能（厨房）</w:t>
      </w:r>
      <w:r>
        <w:rPr>
          <w:rFonts w:ascii="Arial" w:hAnsi="Arial" w:eastAsia="等线" w:cs="Arial"/>
          <w:sz w:val="22"/>
        </w:rPr>
        <w:t>：200℃高温工况下，连续运行2h，启闭功能正常，密封无失效。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四、检测结果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检测产品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检测项目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技术要求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检测结果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判定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卫生间止回排气阀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漏风量≤5m³/(h·m)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3.2m³/(h·m)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启闭性能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500次循环无卡滞、失效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500次循环后功能正常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防倒灌性能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无气流倒灌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各风向、风速下均无倒灌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防倒灌排风风帽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防倒灌性能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无气流倒灌，防雨不渗漏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无倒灌，暴雨模拟下无渗漏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机械式联动止回阀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联动响应时间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≤2s，断电1s内关闭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1.8s开启，断电0.8s关闭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耐臭氧腐蚀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48h暴露无腐蚀、密封失效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无腐蚀，密封性能保持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厨房油烟排风止回阀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耐高温性能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200℃下2h启闭正常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200℃下2h后启闭灵活，密封无渗漏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/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密封性能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漏风量≤5m³/(h·m)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2.8m³/(h·m)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合格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综合结论</w:t>
      </w:r>
      <w:r>
        <w:rPr>
          <w:rFonts w:ascii="Arial" w:hAnsi="Arial" w:eastAsia="等线" w:cs="Arial"/>
          <w:sz w:val="22"/>
        </w:rPr>
        <w:t>：本次受检的防排气倒灌相关产品，各项性能指标均满足国家/行业标准及项目设计要求，可有效防止厨房、卫生间、复印打印室等区域排气倒灌及污染物串通。</w:t>
      </w:r>
    </w:p>
    <w:p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">
    <w:nsid w:val="0248C179"/>
    <w:multiLevelType w:val="singleLevel"/>
    <w:tmpl w:val="0248C1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7">
    <w:nsid w:val="03D62ECE"/>
    <w:multiLevelType w:val="singleLevel"/>
    <w:tmpl w:val="03D62EC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25B654F3"/>
    <w:multiLevelType w:val="singleLevel"/>
    <w:tmpl w:val="25B654F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">
    <w:nsid w:val="2A8F537B"/>
    <w:multiLevelType w:val="singleLevel"/>
    <w:tmpl w:val="2A8F53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1">
    <w:nsid w:val="5A241D34"/>
    <w:multiLevelType w:val="singleLevel"/>
    <w:tmpl w:val="5A241D3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">
    <w:nsid w:val="72183CF9"/>
    <w:multiLevelType w:val="singleLevel"/>
    <w:tmpl w:val="72183CF9"/>
    <w:lvl w:ilvl="0" w:tentative="0">
      <w:start w:val="4"/>
      <w:numFmt w:val="decimal"/>
      <w:lvlText w:val="%1."/>
      <w:lvlJc w:val="left"/>
      <w:rPr>
        <w:color w:val="3370FF"/>
      </w:r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1376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2026-03-14T04:18:00Z</dcterms:created>
  <dc:creator>Apache POI</dc:creator>
  <cp:lastModifiedBy>Lenovo</cp:lastModifiedBy>
  <dcterms:modified xsi:type="dcterms:W3CDTF">2026-03-14T04:19:28Z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