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pPr>
    </w:p>
    <w:p>
      <w:pPr>
        <w:pStyle w:val="53"/>
      </w:pPr>
    </w:p>
    <w:p>
      <w:pPr>
        <w:pStyle w:val="53"/>
        <w:jc w:val="distribute"/>
        <w:rPr>
          <w:b/>
          <w:sz w:val="72"/>
          <w:szCs w:val="72"/>
        </w:rPr>
      </w:pPr>
      <w:r>
        <w:rPr>
          <w:rFonts w:hint="eastAsia"/>
          <w:b/>
          <w:sz w:val="72"/>
          <w:szCs w:val="72"/>
        </w:rPr>
        <w:t>室外风环境模拟分析报告</w:t>
      </w:r>
    </w:p>
    <w:p>
      <w:pPr>
        <w:pStyle w:val="57"/>
        <w:spacing w:line="400" w:lineRule="exact"/>
      </w:pPr>
    </w:p>
    <w:p>
      <w:pPr>
        <w:pStyle w:val="57"/>
        <w:rPr>
          <w:b/>
        </w:rPr>
      </w:pPr>
      <w:bookmarkStart w:id="0" w:name="项目名称"/>
      <w:r>
        <w:t>泉水博物馆</w:t>
      </w:r>
    </w:p>
    <w:p>
      <w:pPr>
        <w:pStyle w:val="57"/>
        <w:rPr>
          <w:b/>
        </w:rPr>
      </w:pPr>
      <w:r>
        <w:rPr>
          <w:rFonts w:hint="eastAsia"/>
          <w:b/>
        </w:rPr>
        <w:t>设计编号：</w:t>
      </w:r>
      <w:bookmarkStart w:id="1" w:name="设计编号"/>
    </w:p>
    <w:p>
      <w:pPr>
        <w:pStyle w:val="57"/>
        <w:rPr>
          <w:b/>
        </w:rPr>
      </w:pPr>
    </w:p>
    <w:p>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pPr>
        <w:pStyle w:val="53"/>
        <w:jc w:val="center"/>
      </w:pPr>
    </w:p>
    <w:p>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工程地点</w:t>
            </w:r>
          </w:p>
        </w:tc>
        <w:tc>
          <w:tcPr>
            <w:tcW w:w="475" w:type="dxa"/>
            <w:vAlign w:val="center"/>
          </w:tcPr>
          <w:p>
            <w:pPr>
              <w:pStyle w:val="53"/>
              <w:spacing w:line="240" w:lineRule="auto"/>
              <w:ind w:right="-31" w:rightChars="-15"/>
              <w:jc w:val="center"/>
            </w:pPr>
            <w:r>
              <w:rPr>
                <w:rFonts w:hint="eastAsia"/>
              </w:rPr>
              <w:t>：</w:t>
            </w:r>
          </w:p>
        </w:tc>
        <w:tc>
          <w:tcPr>
            <w:tcW w:w="4624" w:type="dxa"/>
            <w:tcBorders>
              <w:bottom w:val="single" w:color="auto" w:sz="4" w:space="0"/>
            </w:tcBorders>
            <w:vAlign w:val="center"/>
          </w:tcPr>
          <w:p>
            <w:pPr>
              <w:pStyle w:val="53"/>
              <w:spacing w:line="240" w:lineRule="auto"/>
              <w:jc w:val="center"/>
            </w:pPr>
            <w:bookmarkStart w:id="3" w:name="工程地点"/>
            <w:bookmarkStart w:id="4" w:name="项目地点"/>
            <w:r>
              <w:t>济南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建设单位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5"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6" w:name="设计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校对人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审定人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报告日期</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7" w:name="报告日期"/>
            <w:r>
              <w:t>2025年12月31日</w:t>
            </w:r>
          </w:p>
        </w:tc>
      </w:tr>
    </w:tbl>
    <w:p/>
    <w:p>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5"/>
              <w:rPr>
                <w:szCs w:val="18"/>
              </w:rPr>
            </w:pPr>
            <w:r>
              <w:rPr>
                <w:rFonts w:hint="eastAsia"/>
                <w:szCs w:val="18"/>
              </w:rPr>
              <w:t xml:space="preserve">: </w:t>
            </w:r>
            <w:bookmarkStart w:id="10" w:name="加密锁号"/>
            <w:r>
              <w:rPr>
                <w:rFonts w:hint="eastAsia"/>
                <w:szCs w:val="18"/>
              </w:rPr>
              <w:t>T19546102622</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_Toc31468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_Toc31468 \h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_Toc24547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_Toc24547 \h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_Toc13487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_Toc13487 \h </w:instrText>
      </w:r>
      <w:r>
        <w:fldChar w:fldCharType="separate"/>
      </w:r>
      <w:r>
        <w:t>3</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_Toc30823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_Toc30823 \h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_Toc16220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_Toc16220 \h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_Toc27346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_Toc27346 \h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_Toc861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_Toc861 \h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_Toc21798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_Toc21798 \h </w:instrText>
      </w:r>
      <w:r>
        <w:fldChar w:fldCharType="separate"/>
      </w:r>
      <w:r>
        <w:t>7</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_Toc2305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_Toc2305 \h </w:instrText>
      </w:r>
      <w:r>
        <w:fldChar w:fldCharType="separate"/>
      </w:r>
      <w:r>
        <w:t>11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_Toc16250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_Toc16250 \h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_Toc31971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_Toc31971 \h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_Toc23896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_Toc23896 \h </w:instrText>
      </w:r>
      <w:r>
        <w:fldChar w:fldCharType="separate"/>
      </w:r>
      <w:r>
        <w:t>14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_Toc87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_Toc87 \h </w:instrText>
      </w:r>
      <w:r>
        <w:fldChar w:fldCharType="separate"/>
      </w:r>
      <w:r>
        <w:t>15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_Toc24306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_Toc24306 \h </w:instrText>
      </w:r>
      <w:r>
        <w:fldChar w:fldCharType="separate"/>
      </w:r>
      <w:r>
        <w:t>15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_Toc28236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_Toc28236 \h </w:instrText>
      </w:r>
      <w:r>
        <w:fldChar w:fldCharType="separate"/>
      </w:r>
      <w:r>
        <w:t>16</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_Toc30963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_Toc30963 \h </w:instrText>
      </w:r>
      <w:r>
        <w:fldChar w:fldCharType="separate"/>
      </w:r>
      <w:r>
        <w:t>21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_Toc16460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_Toc16460 \h </w:instrText>
      </w:r>
      <w:r>
        <w:fldChar w:fldCharType="separate"/>
      </w:r>
      <w:r>
        <w:t>24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_Toc16387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_Toc16387 \h </w:instrText>
      </w:r>
      <w:r>
        <w:fldChar w:fldCharType="separate"/>
      </w:r>
      <w:r>
        <w:t>28</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_Toc23687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_Toc23687 \h </w:instrText>
      </w:r>
      <w:r>
        <w:fldChar w:fldCharType="separate"/>
      </w:r>
      <w:r>
        <w:t>28</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_Toc7473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_Toc7473 \h </w:instrText>
      </w:r>
      <w:r>
        <w:fldChar w:fldCharType="separate"/>
      </w:r>
      <w:r>
        <w:t>28</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_Toc7423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_Toc7423 \h </w:instrText>
      </w:r>
      <w:r>
        <w:fldChar w:fldCharType="separate"/>
      </w:r>
      <w:r>
        <w:t>29</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_Toc2783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_Toc2783 \h </w:instrText>
      </w:r>
      <w:r>
        <w:fldChar w:fldCharType="separate"/>
      </w:r>
      <w:r>
        <w:t>29</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_Toc8533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_Toc8533 \h </w:instrText>
      </w:r>
      <w:r>
        <w:fldChar w:fldCharType="separate"/>
      </w:r>
      <w:r>
        <w:t>29</w:t>
      </w:r>
      <w:r>
        <w:fldChar w:fldCharType="end"/>
      </w:r>
      <w:r>
        <w:rPr>
          <w:rFonts w:ascii="微软雅黑" w:hAnsi="微软雅黑"/>
          <w:caps/>
        </w:rPr>
        <w:fldChar w:fldCharType="end"/>
      </w:r>
    </w:p>
    <w:p>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pPr>
        <w:pStyle w:val="2"/>
      </w:pPr>
      <w:bookmarkStart w:id="12" w:name="_Toc31468"/>
      <w:bookmarkStart w:id="13" w:name="_Toc452108759"/>
      <w:r>
        <w:rPr>
          <w:rFonts w:hint="eastAsia"/>
        </w:rPr>
        <w:t>项目概况</w:t>
      </w:r>
      <w:bookmarkEnd w:id="12"/>
    </w:p>
    <w:p>
      <w:pPr>
        <w:pStyle w:val="3"/>
        <w:ind w:firstLine="420"/>
        <w:rPr>
          <w:rFonts w:ascii="微软雅黑" w:hAnsi="微软雅黑" w:eastAsia="微软雅黑"/>
          <w:lang w:val="en-US"/>
        </w:rPr>
      </w:pPr>
      <w:bookmarkStart w:id="14" w:name="项目概况"/>
    </w:p>
    <w:p>
      <w:pPr>
        <w:pStyle w:val="4"/>
      </w:pPr>
      <w:bookmarkStart w:id="15" w:name="_Toc24547"/>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pPr>
        <w:pStyle w:val="3"/>
        <w:ind w:firstLine="420"/>
        <w:rPr>
          <w:rFonts w:ascii="微软雅黑" w:hAnsi="微软雅黑" w:eastAsia="微软雅黑"/>
          <w:lang w:val="en-US"/>
        </w:rPr>
      </w:pPr>
    </w:p>
    <w:p>
      <w:pPr>
        <w:pStyle w:val="4"/>
      </w:pPr>
      <w:bookmarkStart w:id="18" w:name="_Toc13487"/>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pPr>
        <w:pStyle w:val="3"/>
        <w:ind w:firstLine="0" w:firstLineChars="0"/>
        <w:rPr>
          <w:rFonts w:ascii="微软雅黑" w:hAnsi="微软雅黑" w:eastAsia="微软雅黑"/>
          <w:lang w:val="en-US"/>
        </w:rPr>
      </w:pPr>
    </w:p>
    <w:p>
      <w:pPr>
        <w:pStyle w:val="2"/>
      </w:pPr>
      <w:bookmarkStart w:id="21" w:name="_Toc30823"/>
      <w:bookmarkStart w:id="22" w:name="TitleFormat"/>
      <w:bookmarkStart w:id="23" w:name="_Toc452108762"/>
      <w:r>
        <w:rPr>
          <w:rFonts w:hint="eastAsia"/>
        </w:rPr>
        <w:t>计算</w:t>
      </w:r>
      <w:r>
        <w:t>依据</w:t>
      </w:r>
      <w:bookmarkEnd w:id="21"/>
    </w:p>
    <w:p>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山东省《绿色建筑评价标准》DB37/T 5097-2021</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2"/>
      </w:pPr>
      <w:bookmarkStart w:id="25" w:name="_Toc16220"/>
      <w:bookmarkStart w:id="26" w:name="_Toc452108763"/>
      <w:r>
        <w:rPr>
          <w:rFonts w:hint="eastAsia"/>
        </w:rPr>
        <w:t>参考</w:t>
      </w:r>
      <w:r>
        <w:t>标准</w:t>
      </w:r>
      <w:bookmarkEnd w:id="25"/>
    </w:p>
    <w:p>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山东省《绿色建筑评价标准》DB37/T 5097-2021中有关室外风环境的条目要求。具体要求如下：</w:t>
      </w:r>
    </w:p>
    <w:p>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pPr>
        <w:pStyle w:val="2"/>
      </w:pPr>
      <w:bookmarkStart w:id="35" w:name="_Toc27346"/>
      <w:r>
        <w:rPr>
          <w:rFonts w:hint="eastAsia"/>
        </w:rPr>
        <w:t>计算原理</w:t>
      </w:r>
      <w:bookmarkEnd w:id="28"/>
      <w:bookmarkEnd w:id="29"/>
      <w:bookmarkEnd w:id="35"/>
    </w:p>
    <w:p>
      <w:pPr>
        <w:pStyle w:val="4"/>
        <w:numPr>
          <w:ilvl w:val="1"/>
          <w:numId w:val="3"/>
        </w:numPr>
      </w:pPr>
      <w:bookmarkStart w:id="36" w:name="_Toc509844740"/>
      <w:bookmarkStart w:id="37" w:name="_Toc861"/>
      <w:bookmarkStart w:id="38" w:name="_Toc452108765"/>
      <w:bookmarkStart w:id="39" w:name="_Toc451698937"/>
      <w:r>
        <w:rPr>
          <w:rFonts w:hint="eastAsia"/>
        </w:rPr>
        <w:t>风场计算域</w:t>
      </w:r>
      <w:bookmarkEnd w:id="36"/>
      <w:bookmarkEnd w:id="37"/>
    </w:p>
    <w:p>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pPr>
        <w:pStyle w:val="59"/>
      </w:pPr>
    </w:p>
    <w:p>
      <w:pPr>
        <w:pStyle w:val="5"/>
        <w:numPr>
          <w:ilvl w:val="2"/>
          <w:numId w:val="4"/>
        </w:numPr>
      </w:pPr>
      <w:bookmarkStart w:id="40" w:name="季节1"/>
      <w:r>
        <w:rPr>
          <w:rFonts w:hint="eastAsia"/>
        </w:rPr>
        <w:t>冬季</w:t>
      </w:r>
      <w:bookmarkEnd w:id="40"/>
      <w:r>
        <w:rPr>
          <w:rFonts w:hint="eastAsia"/>
        </w:rPr>
        <w:t>工况风场计算域</w:t>
      </w:r>
    </w:p>
    <w:p>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bookmarkStart w:id="42" w:name="冬季风场X尺寸"/>
            <w:r>
              <w:t>567</w:t>
            </w:r>
            <w:bookmarkEnd w:id="42"/>
          </w:p>
        </w:tc>
        <w:tc>
          <w:tcPr>
            <w:tcW w:w="2765" w:type="dxa"/>
          </w:tcPr>
          <w:p>
            <w:pPr>
              <w:jc w:val="center"/>
              <w:rPr>
                <w:sz w:val="18"/>
                <w:szCs w:val="18"/>
              </w:rPr>
            </w:pPr>
            <w:bookmarkStart w:id="43" w:name="冬季风场Y尺寸"/>
            <w:r>
              <w:t>488</w:t>
            </w:r>
            <w:bookmarkEnd w:id="43"/>
          </w:p>
        </w:tc>
        <w:tc>
          <w:tcPr>
            <w:tcW w:w="2766" w:type="dxa"/>
          </w:tcPr>
          <w:p>
            <w:pPr>
              <w:jc w:val="center"/>
              <w:rPr>
                <w:sz w:val="18"/>
                <w:szCs w:val="18"/>
              </w:rPr>
            </w:pPr>
            <w:bookmarkStart w:id="44" w:name="冬季风场Z尺寸"/>
            <w:r>
              <w:t>130</w:t>
            </w:r>
            <w:bookmarkEnd w:id="44"/>
          </w:p>
        </w:tc>
      </w:tr>
    </w:tbl>
    <w:p>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pPr>
        <w:pStyle w:val="5"/>
        <w:numPr>
          <w:ilvl w:val="2"/>
          <w:numId w:val="4"/>
        </w:numPr>
      </w:pPr>
      <w:r>
        <w:rPr>
          <w:rFonts w:hint="eastAsia"/>
        </w:rPr>
        <w:t>夏季工况风场计算域</w:t>
      </w:r>
    </w:p>
    <w:p>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671</w:t>
            </w:r>
          </w:p>
        </w:tc>
        <w:tc>
          <w:tcPr>
            <w:tcW w:w="2765" w:type="dxa"/>
          </w:tcPr>
          <w:p>
            <w:pPr>
              <w:jc w:val="center"/>
              <w:rPr>
                <w:sz w:val="18"/>
                <w:szCs w:val="18"/>
              </w:rPr>
            </w:pPr>
            <w:r>
              <w:t>621</w:t>
            </w:r>
          </w:p>
        </w:tc>
        <w:tc>
          <w:tcPr>
            <w:tcW w:w="2766" w:type="dxa"/>
          </w:tcPr>
          <w:p>
            <w:pPr>
              <w:jc w:val="center"/>
              <w:rPr>
                <w:sz w:val="18"/>
                <w:szCs w:val="18"/>
              </w:rPr>
            </w:pPr>
            <w:r>
              <w:t>130</w:t>
            </w:r>
          </w:p>
        </w:tc>
      </w:tr>
    </w:tbl>
    <w:p>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pPr>
        <w:pStyle w:val="5"/>
        <w:numPr>
          <w:ilvl w:val="2"/>
          <w:numId w:val="4"/>
        </w:numPr>
      </w:pPr>
      <w:r>
        <w:rPr>
          <w:rFonts w:hint="eastAsia"/>
        </w:rPr>
        <w:t>过渡季工况风场计算域</w:t>
      </w:r>
    </w:p>
    <w:p>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671</w:t>
            </w:r>
          </w:p>
        </w:tc>
        <w:tc>
          <w:tcPr>
            <w:tcW w:w="2765" w:type="dxa"/>
          </w:tcPr>
          <w:p>
            <w:pPr>
              <w:jc w:val="center"/>
              <w:rPr>
                <w:sz w:val="18"/>
                <w:szCs w:val="18"/>
              </w:rPr>
            </w:pPr>
            <w:r>
              <w:t>621</w:t>
            </w:r>
          </w:p>
        </w:tc>
        <w:tc>
          <w:tcPr>
            <w:tcW w:w="2766" w:type="dxa"/>
          </w:tcPr>
          <w:p>
            <w:pPr>
              <w:jc w:val="center"/>
              <w:rPr>
                <w:sz w:val="18"/>
                <w:szCs w:val="18"/>
              </w:rPr>
            </w:pPr>
            <w:r>
              <w:t>130</w:t>
            </w:r>
          </w:p>
        </w:tc>
      </w:tr>
    </w:tbl>
    <w:p>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pPr>
        <w:pStyle w:val="59"/>
      </w:pPr>
      <w:bookmarkStart w:id="47" w:name="计算域"/>
      <w:bookmarkEnd w:id="47"/>
    </w:p>
    <w:p>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pPr>
        <w:pStyle w:val="4"/>
      </w:pPr>
      <w:bookmarkStart w:id="48" w:name="_Toc21798"/>
      <w:bookmarkStart w:id="49" w:name="_Toc509844741"/>
      <w:r>
        <w:rPr>
          <w:rFonts w:hint="eastAsia"/>
        </w:rPr>
        <w:t>网格划分</w:t>
      </w:r>
      <w:bookmarkEnd w:id="48"/>
    </w:p>
    <w:p>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3"/>
        <w:spacing w:before="156"/>
        <w:ind w:left="426" w:firstLine="0"/>
        <w:rPr>
          <w:rFonts w:ascii="微软雅黑"/>
        </w:rPr>
      </w:pPr>
      <w:r>
        <w:rPr>
          <w:rFonts w:hint="eastAsia" w:ascii="微软雅黑"/>
        </w:rPr>
        <w:t>1）一般网格：指除靠近地面和建筑以外的网格，通常不需要特别加密处理</w:t>
      </w:r>
    </w:p>
    <w:p>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pPr>
        <w:pStyle w:val="13"/>
        <w:spacing w:before="156"/>
        <w:ind w:left="0" w:firstLine="315" w:firstLineChars="150"/>
        <w:rPr>
          <w:rFonts w:ascii="微软雅黑"/>
        </w:rPr>
      </w:pPr>
      <w:r>
        <w:rPr>
          <w:rFonts w:hint="eastAsia" w:ascii="微软雅黑"/>
        </w:rPr>
        <w:t>2）地面网格</w:t>
      </w:r>
    </w:p>
    <w:p>
      <w:pPr>
        <w:pStyle w:val="13"/>
        <w:spacing w:before="156"/>
        <w:ind w:firstLine="315" w:firstLineChars="150"/>
        <w:rPr>
          <w:rFonts w:ascii="微软雅黑"/>
        </w:rPr>
      </w:pPr>
      <w:r>
        <w:rPr>
          <w:rFonts w:hint="eastAsia" w:ascii="微软雅黑"/>
        </w:rPr>
        <w:t>靠近建筑物的区域称为近场，远离建筑物的区域称为远场。</w:t>
      </w:r>
    </w:p>
    <w:p>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bookmarkStart w:id="51" w:name="冬季网格总数"/>
            <w:r>
              <w:t>452559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bookmarkStart w:id="52" w:name="冬季分弧精度"/>
            <w:r>
              <w:t>0.24</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bookmarkStart w:id="53" w:name="最大网格尺寸"/>
            <w:r>
              <w:t>16.0</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bookmarkStart w:id="54" w:name="最小网格尺寸"/>
            <w:r>
              <w:t>4.0</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bookmarkStart w:id="55" w:name="建筑表面细分层厚度"/>
            <w:r>
              <w:t>4.0</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bookmarkStart w:id="56" w:name="远场网格尺寸"/>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bookmarkStart w:id="57" w:name="近场网格尺寸"/>
            <w:r>
              <w:t>4.0</w:t>
            </w:r>
            <w:bookmarkEnd w:id="57"/>
          </w:p>
        </w:tc>
      </w:tr>
    </w:tbl>
    <w:p>
      <w:pPr>
        <w:spacing w:line="400" w:lineRule="exact"/>
        <w:rPr>
          <w:sz w:val="18"/>
          <w:szCs w:val="18"/>
          <w:lang w:val="en-US"/>
        </w:rPr>
      </w:pPr>
    </w:p>
    <w:p>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697560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697302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pPr>
        <w:pStyle w:val="3"/>
        <w:ind w:firstLine="0" w:firstLineChars="0"/>
        <w:rPr>
          <w:rFonts w:ascii="微软雅黑" w:hAnsi="微软雅黑" w:eastAsia="微软雅黑"/>
          <w:szCs w:val="20"/>
          <w:lang w:val="en-US"/>
        </w:rPr>
      </w:pPr>
    </w:p>
    <w:p>
      <w:pPr>
        <w:pStyle w:val="4"/>
        <w:numPr>
          <w:ilvl w:val="1"/>
          <w:numId w:val="3"/>
        </w:numPr>
      </w:pPr>
      <w:bookmarkStart w:id="61" w:name="_Toc509844742"/>
      <w:bookmarkStart w:id="62" w:name="_Toc2305"/>
      <w:r>
        <w:rPr>
          <w:rFonts w:hint="eastAsia"/>
        </w:rPr>
        <w:t>边界条件</w:t>
      </w:r>
      <w:bookmarkEnd w:id="61"/>
      <w:bookmarkEnd w:id="62"/>
    </w:p>
    <w:p>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pPr>
        <w:pStyle w:val="5"/>
      </w:pPr>
      <w:bookmarkStart w:id="63" w:name="_Toc509844743"/>
      <w:r>
        <w:rPr>
          <w:rFonts w:hint="eastAsia"/>
        </w:rPr>
        <w:t>入口与出口边界条件</w:t>
      </w:r>
      <w:bookmarkEnd w:id="63"/>
    </w:p>
    <w:p>
      <w:r>
        <w:rPr>
          <w:rFonts w:hint="eastAsia"/>
        </w:rPr>
        <w:t>1）入口风速梯度</w:t>
      </w:r>
    </w:p>
    <w:p>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pPr>
              <w:pStyle w:val="59"/>
              <w:rPr>
                <w:b/>
              </w:rPr>
            </w:pPr>
            <w:r>
              <w:rPr>
                <w:rFonts w:hint="eastAsia"/>
                <w:b/>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0.28</w:t>
            </w:r>
          </w:p>
        </w:tc>
      </w:tr>
    </w:tbl>
    <w:p>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pPr>
        <w:spacing w:before="156" w:beforeLines="50"/>
      </w:pPr>
      <w:r>
        <w:t>2）出口边界</w:t>
      </w:r>
      <w:r>
        <w:rPr>
          <w:rFonts w:hint="eastAsia"/>
        </w:rPr>
        <w:t>条件</w:t>
      </w:r>
    </w:p>
    <w:p>
      <w:pPr>
        <w:spacing w:before="156" w:beforeLines="50"/>
        <w:ind w:firstLine="420"/>
      </w:pPr>
      <w:r>
        <w:rPr>
          <w:rFonts w:hint="eastAsia"/>
          <w:lang w:val="en-US"/>
        </w:rPr>
        <w:t>本项目采用自由出流作为出口边界条件。</w:t>
      </w:r>
    </w:p>
    <w:p>
      <w:pPr>
        <w:pStyle w:val="5"/>
      </w:pPr>
      <w:bookmarkStart w:id="65" w:name="_Toc509844744"/>
      <w:r>
        <w:rPr>
          <w:rFonts w:hint="eastAsia"/>
        </w:rPr>
        <w:t>壁面边界条件</w:t>
      </w:r>
      <w:bookmarkEnd w:id="65"/>
    </w:p>
    <w:p>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pPr>
        <w:pStyle w:val="4"/>
        <w:numPr>
          <w:ilvl w:val="1"/>
          <w:numId w:val="3"/>
        </w:numPr>
      </w:pPr>
      <w:bookmarkStart w:id="66" w:name="_Toc16250"/>
      <w:r>
        <w:rPr>
          <w:rFonts w:hint="eastAsia"/>
        </w:rPr>
        <w:t>湍流模型</w:t>
      </w:r>
      <w:bookmarkEnd w:id="38"/>
      <w:bookmarkEnd w:id="39"/>
      <w:bookmarkEnd w:id="66"/>
    </w:p>
    <w:p>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pPr>
              <w:pStyle w:val="59"/>
            </w:pPr>
            <w:r>
              <w:rPr>
                <w:rFonts w:hint="eastAsia"/>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旋转流动、强逆压梯度的边界层流动、流动分离和二次流，类似于RNG</w:t>
            </w:r>
          </w:p>
        </w:tc>
      </w:tr>
    </w:tbl>
    <w:p>
      <w:pPr>
        <w:pStyle w:val="4"/>
        <w:numPr>
          <w:ilvl w:val="1"/>
          <w:numId w:val="3"/>
        </w:numPr>
      </w:pPr>
      <w:bookmarkStart w:id="69" w:name="_Toc31971"/>
      <w:r>
        <w:rPr>
          <w:rFonts w:hint="eastAsia"/>
        </w:rPr>
        <w:t>求解计算</w:t>
      </w:r>
      <w:bookmarkEnd w:id="67"/>
      <w:bookmarkEnd w:id="68"/>
      <w:bookmarkEnd w:id="69"/>
    </w:p>
    <w:p>
      <w:pPr>
        <w:pStyle w:val="5"/>
      </w:pPr>
      <w:r>
        <w:rPr>
          <w:rFonts w:hint="eastAsia"/>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rPr>
      </w:pPr>
    </w:p>
    <w:p>
      <w:pPr>
        <w:pStyle w:val="5"/>
      </w:pPr>
      <w:r>
        <w:rPr>
          <w:rFonts w:hint="eastAsia"/>
        </w:rPr>
        <w:t>算法说明</w:t>
      </w:r>
    </w:p>
    <w:p>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pPr>
        <w:pStyle w:val="4"/>
      </w:pPr>
      <w:bookmarkStart w:id="72" w:name="_Toc509844747"/>
      <w:bookmarkStart w:id="73" w:name="_Toc23896"/>
      <w:r>
        <w:rPr>
          <w:rFonts w:hint="eastAsia"/>
        </w:rPr>
        <w:t>风速放大系数计算</w:t>
      </w:r>
      <w:bookmarkEnd w:id="72"/>
      <w:bookmarkEnd w:id="73"/>
    </w:p>
    <w:p>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spacing w:line="360" w:lineRule="exact"/>
              <w:rPr>
                <w:lang w:val="en-US"/>
              </w:rPr>
            </w:pPr>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rFonts w:ascii="微软雅黑" w:hAnsi="微软雅黑" w:eastAsia="微软雅黑"/>
          <w:lang w:val="en-US"/>
        </w:rPr>
      </w:pPr>
      <w:r>
        <w:rPr>
          <w:rFonts w:hint="eastAsia" w:ascii="微软雅黑" w:hAnsi="微软雅黑" w:eastAsia="微软雅黑"/>
          <w:lang w:val="en-US"/>
        </w:rPr>
        <w:t>其中：</w:t>
      </w:r>
    </w:p>
    <w:p>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p>
      <w:pPr>
        <w:pStyle w:val="2"/>
      </w:pPr>
      <w:bookmarkStart w:id="75" w:name="_Toc452108768"/>
      <w:bookmarkStart w:id="76" w:name="_Toc87"/>
      <w:r>
        <w:rPr>
          <w:rFonts w:hint="eastAsia"/>
        </w:rPr>
        <w:t>结果</w:t>
      </w:r>
      <w:r>
        <w:t>分析</w:t>
      </w:r>
      <w:bookmarkEnd w:id="75"/>
      <w:bookmarkEnd w:id="76"/>
    </w:p>
    <w:p>
      <w:pPr>
        <w:pStyle w:val="4"/>
      </w:pPr>
      <w:bookmarkStart w:id="77" w:name="_Toc24306"/>
      <w:r>
        <w:rPr>
          <w:rFonts w:hint="eastAsia"/>
        </w:rPr>
        <w:t>工况</w:t>
      </w:r>
      <w:r>
        <w:t>表</w:t>
      </w:r>
      <w:bookmarkEnd w:id="77"/>
    </w:p>
    <w:p>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pPr>
              <w:pStyle w:val="59"/>
            </w:pPr>
            <w:bookmarkStart w:id="78" w:name="计算工况表"/>
            <w:r>
              <w:rPr>
                <w:rFonts w:hint="eastAsia"/>
              </w:rPr>
              <w:t>序号</w:t>
            </w:r>
          </w:p>
        </w:tc>
        <w:tc>
          <w:tcPr>
            <w:tcW w:w="1166" w:type="pct"/>
            <w:shd w:val="clear" w:color="auto" w:fill="E6E6E6"/>
            <w:vAlign w:val="center"/>
          </w:tcPr>
          <w:p>
            <w:pPr>
              <w:pStyle w:val="59"/>
            </w:pPr>
            <w:r>
              <w:rPr>
                <w:rFonts w:hint="eastAsia"/>
              </w:rPr>
              <w:t>季节</w:t>
            </w:r>
          </w:p>
        </w:tc>
        <w:tc>
          <w:tcPr>
            <w:tcW w:w="1187" w:type="pct"/>
            <w:shd w:val="clear" w:color="auto" w:fill="E6E6E6"/>
            <w:vAlign w:val="center"/>
          </w:tcPr>
          <w:p>
            <w:pPr>
              <w:pStyle w:val="59"/>
            </w:pPr>
            <w:r>
              <w:rPr>
                <w:rFonts w:hint="eastAsia"/>
              </w:rPr>
              <w:t>风速</w:t>
            </w:r>
            <w:r>
              <w:t>(m/s)</w:t>
            </w:r>
          </w:p>
        </w:tc>
        <w:tc>
          <w:tcPr>
            <w:tcW w:w="994" w:type="pct"/>
            <w:shd w:val="clear" w:color="auto" w:fill="E6E6E6"/>
            <w:vAlign w:val="center"/>
          </w:tcPr>
          <w:p>
            <w:pPr>
              <w:pStyle w:val="59"/>
            </w:pPr>
            <w:r>
              <w:rPr>
                <w:rFonts w:hint="eastAsia"/>
              </w:rPr>
              <w:t>风向</w:t>
            </w:r>
          </w:p>
        </w:tc>
        <w:tc>
          <w:tcPr>
            <w:tcW w:w="994" w:type="pct"/>
            <w:shd w:val="clear" w:color="auto" w:fill="E6E6E6"/>
            <w:vAlign w:val="center"/>
          </w:tcPr>
          <w:p>
            <w:pPr>
              <w:pStyle w:val="59"/>
            </w:pPr>
            <w:r>
              <w:rPr>
                <w:rFonts w:hint="eastAsia"/>
              </w:rPr>
              <w:t>风向（°</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1</w:t>
            </w:r>
          </w:p>
        </w:tc>
        <w:tc>
          <w:tcPr>
            <w:tcW w:w="1166" w:type="pct"/>
            <w:vAlign w:val="center"/>
          </w:tcPr>
          <w:p>
            <w:pPr>
              <w:pStyle w:val="59"/>
            </w:pPr>
            <w:r>
              <w:t>冬季</w:t>
            </w:r>
          </w:p>
        </w:tc>
        <w:tc>
          <w:tcPr>
            <w:tcW w:w="1187" w:type="pct"/>
            <w:vAlign w:val="center"/>
          </w:tcPr>
          <w:p>
            <w:pPr>
              <w:pStyle w:val="59"/>
            </w:pPr>
            <w:r>
              <w:t>3.70</w:t>
            </w:r>
          </w:p>
        </w:tc>
        <w:tc>
          <w:tcPr>
            <w:tcW w:w="994" w:type="pct"/>
            <w:vAlign w:val="center"/>
          </w:tcPr>
          <w:p>
            <w:pPr>
              <w:pStyle w:val="59"/>
            </w:pPr>
            <w:r>
              <w:t>E</w:t>
            </w:r>
          </w:p>
        </w:tc>
        <w:tc>
          <w:tcPr>
            <w:tcW w:w="994" w:type="pct"/>
            <w:vAlign w:val="center"/>
          </w:tcPr>
          <w:p>
            <w:pPr>
              <w:pStyle w:val="59"/>
            </w:pPr>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2</w:t>
            </w:r>
          </w:p>
        </w:tc>
        <w:tc>
          <w:tcPr>
            <w:tcW w:w="1166" w:type="pct"/>
            <w:vAlign w:val="center"/>
          </w:tcPr>
          <w:p>
            <w:pPr>
              <w:pStyle w:val="59"/>
            </w:pPr>
            <w:r>
              <w:t>夏季</w:t>
            </w:r>
          </w:p>
        </w:tc>
        <w:tc>
          <w:tcPr>
            <w:tcW w:w="1187" w:type="pct"/>
            <w:vAlign w:val="center"/>
          </w:tcPr>
          <w:p>
            <w:pPr>
              <w:pStyle w:val="59"/>
            </w:pPr>
            <w:r>
              <w:t>3.60</w:t>
            </w:r>
          </w:p>
        </w:tc>
        <w:tc>
          <w:tcPr>
            <w:tcW w:w="994" w:type="pct"/>
            <w:vAlign w:val="center"/>
          </w:tcPr>
          <w:p>
            <w:pPr>
              <w:pStyle w:val="59"/>
            </w:pPr>
            <w:r>
              <w:t>SW</w:t>
            </w:r>
          </w:p>
        </w:tc>
        <w:tc>
          <w:tcPr>
            <w:tcW w:w="994" w:type="pct"/>
            <w:vAlign w:val="center"/>
          </w:tcPr>
          <w:p>
            <w:pPr>
              <w:pStyle w:val="59"/>
            </w:pPr>
            <w:r>
              <w:t>225.0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3</w:t>
            </w:r>
          </w:p>
        </w:tc>
        <w:tc>
          <w:tcPr>
            <w:tcW w:w="1166" w:type="pct"/>
            <w:vAlign w:val="center"/>
          </w:tcPr>
          <w:p>
            <w:pPr>
              <w:pStyle w:val="59"/>
            </w:pPr>
            <w:r>
              <w:t>过渡季</w:t>
            </w:r>
          </w:p>
        </w:tc>
        <w:tc>
          <w:tcPr>
            <w:tcW w:w="1187" w:type="pct"/>
            <w:vAlign w:val="center"/>
          </w:tcPr>
          <w:p>
            <w:pPr>
              <w:pStyle w:val="59"/>
            </w:pPr>
            <w:r>
              <w:t>3.60</w:t>
            </w:r>
          </w:p>
        </w:tc>
        <w:tc>
          <w:tcPr>
            <w:tcW w:w="994" w:type="pct"/>
            <w:vAlign w:val="center"/>
          </w:tcPr>
          <w:p>
            <w:pPr>
              <w:pStyle w:val="59"/>
            </w:pPr>
            <w:r>
              <w:t>SW</w:t>
            </w:r>
          </w:p>
        </w:tc>
        <w:tc>
          <w:tcPr>
            <w:tcW w:w="994" w:type="pct"/>
            <w:vAlign w:val="center"/>
          </w:tcPr>
          <w:p>
            <w:pPr>
              <w:pStyle w:val="59"/>
            </w:pPr>
            <w:r>
              <w:t>225.0</w:t>
            </w:r>
          </w:p>
        </w:tc>
      </w:tr>
      <w:bookmarkEnd w:id="78"/>
    </w:tbl>
    <w:p>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pPr>
        <w:pStyle w:val="4"/>
      </w:pPr>
      <w:bookmarkStart w:id="79" w:name="_Toc509844750"/>
      <w:bookmarkStart w:id="80" w:name="_Toc28236"/>
      <w:r>
        <w:rPr>
          <w:rFonts w:hint="eastAsia"/>
        </w:rPr>
        <w:t>冬季工况</w:t>
      </w:r>
      <w:bookmarkEnd w:id="79"/>
      <w:bookmarkEnd w:id="80"/>
    </w:p>
    <w:p>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pPr>
        <w:pStyle w:val="5"/>
      </w:pPr>
      <w:bookmarkStart w:id="83" w:name="_Toc509844751"/>
      <w:r>
        <w:rPr>
          <w:rFonts w:hint="eastAsia"/>
        </w:rPr>
        <w:t>人行区域风速达标分析</w:t>
      </w:r>
      <w:bookmarkEnd w:id="83"/>
      <w:r>
        <w:rPr>
          <w:rFonts w:hint="eastAsia"/>
        </w:rPr>
        <w:t xml:space="preserve"> </w:t>
      </w:r>
    </w:p>
    <w:p>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pPr>
        <w:pStyle w:val="3"/>
        <w:ind w:firstLine="420"/>
        <w:rPr>
          <w:rFonts w:ascii="微软雅黑" w:hAnsi="微软雅黑" w:eastAsia="微软雅黑"/>
          <w:lang w:val="en-US"/>
        </w:rPr>
      </w:pPr>
    </w:p>
    <w:p>
      <w:pPr>
        <w:pStyle w:val="5"/>
      </w:pPr>
      <w:bookmarkStart w:id="85" w:name="_Toc509844752"/>
      <w:r>
        <w:rPr>
          <w:rFonts w:hint="eastAsia"/>
        </w:rPr>
        <w:t>人行区域风速放大系数达标分析</w:t>
      </w:r>
      <w:bookmarkEnd w:id="85"/>
    </w:p>
    <w:p>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pPr>
        <w:pStyle w:val="3"/>
        <w:ind w:firstLine="420"/>
        <w:rPr>
          <w:rFonts w:ascii="微软雅黑" w:hAnsi="微软雅黑" w:eastAsia="微软雅黑"/>
          <w:lang w:val="en-US"/>
        </w:rPr>
      </w:pPr>
    </w:p>
    <w:p>
      <w:pPr>
        <w:pStyle w:val="5"/>
      </w:pPr>
      <w:r>
        <w:rPr>
          <w:rFonts w:hint="eastAsia"/>
        </w:rPr>
        <w:t>户外休息区、儿童娱乐区</w:t>
      </w:r>
      <w:r>
        <w:t>域风速达标分析</w:t>
      </w:r>
    </w:p>
    <w:p>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未标示出超标区域，可知户外休息区、儿童娱乐区风速最大值为1.22m/s，小于2m/s，</w:t>
      </w:r>
      <w:r>
        <w:rPr>
          <w:rFonts w:ascii="微软雅黑" w:hAnsi="微软雅黑" w:eastAsia="微软雅黑"/>
          <w:color w:val="0000FF"/>
          <w:lang w:val="en-US"/>
        </w:rPr>
        <w:t>满足</w:t>
      </w:r>
      <w:r>
        <w:rPr>
          <w:rFonts w:ascii="微软雅黑" w:hAnsi="微软雅黑" w:eastAsia="微软雅黑"/>
          <w:lang w:val="en-US"/>
        </w:rPr>
        <w:t>绿标要求。</w:t>
      </w:r>
    </w:p>
    <w:p>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pPr>
        <w:pStyle w:val="5"/>
      </w:pPr>
      <w:r>
        <w:rPr>
          <w:rFonts w:hint="eastAsia"/>
        </w:rPr>
        <w:t>户外休息区、儿童娱乐区风速放大系数达标</w:t>
      </w:r>
      <w:r>
        <w:t>分析</w:t>
      </w:r>
    </w:p>
    <w:p>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区域内风速放大系数最大值为0.56，</w:t>
      </w:r>
      <w:r>
        <w:rPr>
          <w:color w:val="0000FF"/>
          <w:lang w:val="en-US"/>
        </w:rPr>
        <w:t>没有</w:t>
      </w:r>
      <w:r>
        <w:rPr>
          <w:lang w:val="en-US"/>
        </w:rPr>
        <w:t>风速放大系数超限区域，</w:t>
      </w:r>
      <w:r>
        <w:rPr>
          <w:color w:val="0000FF"/>
          <w:lang w:val="en-US"/>
        </w:rPr>
        <w:t>满足</w:t>
      </w:r>
      <w:r>
        <w:rPr>
          <w:lang w:val="en-US"/>
        </w:rPr>
        <w:t>标准要求。</w:t>
      </w:r>
    </w:p>
    <w:p>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pPr>
        <w:pStyle w:val="3"/>
        <w:ind w:firstLine="420"/>
        <w:rPr>
          <w:rFonts w:ascii="微软雅黑" w:hAnsi="微软雅黑" w:eastAsia="微软雅黑"/>
          <w:lang w:val="en-US"/>
        </w:rPr>
      </w:pPr>
    </w:p>
    <w:p>
      <w:pPr>
        <w:pStyle w:val="37"/>
        <w:spacing w:line="440" w:lineRule="exact"/>
        <w:ind w:firstLine="420"/>
        <w:rPr>
          <w:szCs w:val="21"/>
        </w:rPr>
      </w:pPr>
      <w:r>
        <w:rPr>
          <w:rFonts w:hint="eastAsia"/>
          <w:szCs w:val="21"/>
        </w:rPr>
        <w:t>注：</w:t>
      </w:r>
    </w:p>
    <w:p>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pPr>
        <w:pStyle w:val="37"/>
        <w:spacing w:line="440" w:lineRule="exact"/>
        <w:ind w:firstLine="420"/>
        <w:rPr>
          <w:szCs w:val="21"/>
        </w:rPr>
      </w:pPr>
      <w:r>
        <w:rPr>
          <w:rFonts w:hint="eastAsia"/>
          <w:szCs w:val="21"/>
        </w:rPr>
        <w:t>3）通常将1.5米作为一般人群的参考行走高度，也可酌情调整人行走高度。</w:t>
      </w:r>
    </w:p>
    <w:p>
      <w:pPr>
        <w:pStyle w:val="3"/>
        <w:ind w:firstLine="420"/>
        <w:rPr>
          <w:rFonts w:ascii="微软雅黑" w:hAnsi="微软雅黑" w:eastAsia="微软雅黑"/>
          <w:lang w:val="en-US"/>
        </w:rPr>
      </w:pPr>
    </w:p>
    <w:p>
      <w:pPr>
        <w:pStyle w:val="5"/>
      </w:pPr>
      <w:bookmarkStart w:id="91" w:name="_Toc509844753"/>
      <w:r>
        <w:rPr>
          <w:rFonts w:hint="eastAsia"/>
        </w:rPr>
        <w:t>冬季工况风速/风速放大系数达标</w:t>
      </w:r>
      <w:bookmarkEnd w:id="91"/>
      <w:r>
        <w:rPr>
          <w:rFonts w:hint="eastAsia"/>
        </w:rPr>
        <w:t>结果汇总</w:t>
      </w:r>
    </w:p>
    <w:p>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pPr>
        <w:rPr>
          <w:rFonts w:ascii="微软雅黑" w:hAnsi="微软雅黑" w:eastAsia="微软雅黑"/>
        </w:rPr>
      </w:pPr>
    </w:p>
    <w:p>
      <w:pPr>
        <w:pStyle w:val="5"/>
      </w:pPr>
      <w:r>
        <w:rPr>
          <w:rFonts w:hint="eastAsia"/>
        </w:rPr>
        <w:t>建筑迎风面和背风面风压分析</w:t>
      </w:r>
    </w:p>
    <w:p>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tblPrEx>
          <w:tblCellMar>
            <w:top w:w="0" w:type="dxa"/>
            <w:left w:w="108" w:type="dxa"/>
            <w:bottom w:w="0" w:type="dxa"/>
            <w:right w:w="108" w:type="dxa"/>
          </w:tblCellMar>
        </w:tblPrEx>
        <w:tc>
          <w:tcPr>
            <w:tcW w:w="6658" w:type="dxa"/>
            <w:shd w:val="clear" w:color="auto" w:fill="auto"/>
          </w:tcPr>
          <w:p>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pPr>
        <w:pStyle w:val="6"/>
      </w:pPr>
      <w:r>
        <w:rPr>
          <w:rFonts w:hint="eastAsia"/>
        </w:rPr>
        <w:t>建筑迎风和背风面风压差结论汇总</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泉水博物馆单体链接_T8</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-1.46</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-1.65</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pPr>
        <w:rPr>
          <w:lang w:val="en-US"/>
        </w:rPr>
      </w:pPr>
      <w:bookmarkStart w:id="107" w:name="冬季工况"/>
      <w:bookmarkEnd w:id="107"/>
      <w:r>
        <w:rPr>
          <w:rFonts w:hint="eastAsia"/>
          <w:lang w:val="en-US"/>
        </w:rPr>
        <w:t xml:space="preserve"> </w:t>
      </w:r>
    </w:p>
    <w:p>
      <w:pPr>
        <w:pStyle w:val="4"/>
      </w:pPr>
      <w:bookmarkStart w:id="108" w:name="_Toc509844759"/>
      <w:bookmarkStart w:id="109" w:name="_Toc30963"/>
      <w:r>
        <w:rPr>
          <w:rFonts w:hint="eastAsia"/>
        </w:rPr>
        <w:t>夏季工况</w:t>
      </w:r>
      <w:bookmarkEnd w:id="108"/>
      <w:bookmarkEnd w:id="109"/>
    </w:p>
    <w:p>
      <w:pPr>
        <w:ind w:firstLine="420"/>
      </w:pPr>
      <w:r>
        <w:rPr>
          <w:rFonts w:hint="eastAsia"/>
          <w:lang w:val="en-US"/>
        </w:rPr>
        <w:t>本项目夏季工况的入口边界风速为</w:t>
      </w:r>
      <w:bookmarkStart w:id="110" w:name="入口边界风速"/>
      <w:r>
        <w:rPr>
          <w:rFonts w:hint="eastAsia"/>
          <w:lang w:val="en-US"/>
        </w:rPr>
        <w:t>3.60</w:t>
      </w:r>
      <w:bookmarkEnd w:id="110"/>
      <w:r>
        <w:rPr>
          <w:rFonts w:hint="eastAsia"/>
          <w:lang w:val="en-US"/>
        </w:rPr>
        <w:t>m/s，风向为</w:t>
      </w:r>
      <w:bookmarkStart w:id="111" w:name="入口边界风向"/>
      <w:r>
        <w:t>SW</w:t>
      </w:r>
      <w:bookmarkEnd w:id="111"/>
      <w:r>
        <w:rPr>
          <w:rFonts w:hint="eastAsia"/>
          <w:lang w:val="en-US"/>
        </w:rPr>
        <w:t>。</w:t>
      </w:r>
    </w:p>
    <w:p>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ind w:firstLine="420"/>
      </w:pPr>
      <w:r>
        <w:rPr>
          <w:rFonts w:hint="eastAsia"/>
          <w:lang w:val="en-US"/>
        </w:rPr>
        <w:t>注：无风区的定义参考《</w:t>
      </w:r>
      <w:r>
        <w:rPr>
          <w:rFonts w:hint="eastAsia"/>
        </w:rPr>
        <w:t>建筑设计资料集</w:t>
      </w:r>
      <w:r>
        <w:rPr>
          <w:rFonts w:hint="eastAsia"/>
          <w:lang w:val="en-US"/>
        </w:rPr>
        <w:t>》第一分册，第二版。</w:t>
      </w:r>
    </w:p>
    <w:p>
      <w:pPr>
        <w:pStyle w:val="5"/>
      </w:pPr>
      <w:bookmarkStart w:id="114" w:name="_Toc509844760"/>
      <w:r>
        <w:rPr>
          <w:rFonts w:hint="eastAsia"/>
        </w:rPr>
        <w:t>人活动区域无风区计算分析</w:t>
      </w:r>
      <w:bookmarkEnd w:id="114"/>
    </w:p>
    <w:p>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248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7" w:name="季节6"/>
      <w:r>
        <w:rPr>
          <w:rFonts w:hint="eastAsia" w:ascii="微软雅黑" w:hAnsi="微软雅黑" w:eastAsia="微软雅黑"/>
          <w:sz w:val="18"/>
          <w:szCs w:val="18"/>
        </w:rPr>
        <w:t>夏季</w:t>
      </w:r>
      <w:bookmarkEnd w:id="117"/>
      <w:r>
        <w:rPr>
          <w:rFonts w:hint="eastAsia" w:ascii="微软雅黑" w:hAnsi="微软雅黑" w:eastAsia="微软雅黑"/>
          <w:sz w:val="18"/>
          <w:szCs w:val="18"/>
        </w:rPr>
        <w:t xml:space="preserve"> </w:t>
      </w:r>
    </w:p>
    <w:p>
      <w:pPr>
        <w:pStyle w:val="5"/>
      </w:pPr>
      <w:bookmarkStart w:id="118" w:name="_Toc509844761"/>
      <w:r>
        <w:rPr>
          <w:rFonts w:hint="eastAsia"/>
        </w:rPr>
        <w:t>人活动区域旋涡区分析</w:t>
      </w:r>
      <w:bookmarkEnd w:id="118"/>
    </w:p>
    <w:p>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rFonts w:ascii="微软雅黑" w:hAnsi="微软雅黑" w:eastAsia="微软雅黑"/>
          <w:lang w:val="en-US"/>
        </w:rPr>
      </w:pPr>
      <w:bookmarkStart w:id="119" w:name="人行区风速矢量图"/>
      <w:bookmarkEnd w:id="119"/>
      <w:r>
        <w:drawing>
          <wp:inline distT="0" distB="0" distL="0" distR="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pPr>
        <w:pStyle w:val="5"/>
      </w:pPr>
      <w:bookmarkStart w:id="120" w:name="_Toc509844762"/>
      <w:r>
        <w:rPr>
          <w:rFonts w:hint="eastAsia"/>
        </w:rPr>
        <w:t>人活动区域旋涡区/无风区达标</w:t>
      </w:r>
      <w:bookmarkEnd w:id="120"/>
      <w:r>
        <w:rPr>
          <w:rFonts w:hint="eastAsia"/>
        </w:rPr>
        <w:t>结果汇总</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1" w:name="季节8"/>
      <w:r>
        <w:rPr>
          <w:rFonts w:hint="eastAsia" w:ascii="微软雅黑" w:hAnsi="微软雅黑" w:eastAsia="微软雅黑"/>
          <w:sz w:val="18"/>
          <w:szCs w:val="18"/>
        </w:rPr>
        <w:t>夏季</w:t>
      </w:r>
      <w:bookmarkEnd w:id="121"/>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bookmarkStart w:id="122" w:name="是否有无风区"/>
            <w:r>
              <w:rPr>
                <w:rFonts w:hint="eastAsia" w:cs="宋体"/>
                <w:color w:val="FF0000"/>
                <w:sz w:val="18"/>
                <w:szCs w:val="18"/>
                <w:lang w:val="en-US"/>
              </w:rPr>
              <w:t>是</w:t>
            </w:r>
            <w:bookmarkEnd w:id="122"/>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bookmarkStart w:id="123" w:name="无风区达标判断"/>
            <w:r>
              <w:rPr>
                <w:rFonts w:hint="eastAsia" w:cs="宋体"/>
                <w:color w:val="FF0000"/>
                <w:sz w:val="18"/>
                <w:szCs w:val="18"/>
                <w:lang w:val="en-US"/>
              </w:rPr>
              <w:t>否</w:t>
            </w:r>
            <w:bookmarkEnd w:id="123"/>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bookmarkStart w:id="125" w:name="旋涡区达标判断"/>
            <w:r>
              <w:rPr>
                <w:rFonts w:cs="宋体"/>
                <w:color w:val="000000"/>
                <w:sz w:val="18"/>
                <w:szCs w:val="18"/>
                <w:lang w:val="en-US"/>
              </w:rPr>
              <w:t>是</w:t>
            </w:r>
            <w:bookmarkEnd w:id="125"/>
          </w:p>
        </w:tc>
      </w:tr>
    </w:tbl>
    <w:p>
      <w:pPr>
        <w:pStyle w:val="5"/>
      </w:pPr>
      <w:bookmarkStart w:id="126" w:name="_Toc504501018"/>
      <w:bookmarkStart w:id="127" w:name="_Toc509844763"/>
      <w:r>
        <w:rPr>
          <w:rFonts w:hint="eastAsia"/>
        </w:rPr>
        <w:t>外窗内外表面风压</w:t>
      </w:r>
      <w:bookmarkEnd w:id="126"/>
      <w:r>
        <w:rPr>
          <w:rFonts w:hint="eastAsia"/>
        </w:rPr>
        <w:t>差达标分析</w:t>
      </w:r>
      <w:bookmarkEnd w:id="127"/>
    </w:p>
    <w:p>
      <w:pPr>
        <w:ind w:firstLine="420"/>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rPr>
          <w:rFonts w:ascii="微软雅黑" w:hAnsi="微软雅黑" w:eastAsia="微软雅黑"/>
        </w:rPr>
      </w:pPr>
      <w:bookmarkStart w:id="129" w:name="迎风面风压云图"/>
      <w:bookmarkEnd w:id="129"/>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0" w:name="季节10"/>
      <w:r>
        <w:rPr>
          <w:rFonts w:hint="eastAsia" w:ascii="微软雅黑" w:hAnsi="微软雅黑" w:eastAsia="微软雅黑"/>
          <w:sz w:val="18"/>
          <w:szCs w:val="18"/>
        </w:rPr>
        <w:t>夏季</w:t>
      </w:r>
      <w:bookmarkEnd w:id="130"/>
    </w:p>
    <w:p>
      <w:pPr>
        <w:jc w:val="center"/>
        <w:rPr>
          <w:rFonts w:ascii="微软雅黑" w:hAnsi="微软雅黑" w:eastAsia="微软雅黑"/>
        </w:rPr>
      </w:pPr>
      <w:bookmarkStart w:id="131" w:name="背风面风压云图"/>
      <w:bookmarkEnd w:id="131"/>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2" w:name="季节11"/>
      <w:r>
        <w:rPr>
          <w:rFonts w:hint="eastAsia" w:ascii="微软雅黑" w:hAnsi="微软雅黑" w:eastAsia="微软雅黑"/>
          <w:sz w:val="18"/>
          <w:szCs w:val="18"/>
        </w:rPr>
        <w:t>夏季</w:t>
      </w:r>
      <w:bookmarkEnd w:id="132"/>
      <w:r>
        <w:rPr>
          <w:rFonts w:hint="eastAsia" w:ascii="微软雅黑" w:hAnsi="微软雅黑" w:eastAsia="微软雅黑"/>
          <w:sz w:val="18"/>
          <w:szCs w:val="18"/>
        </w:rPr>
        <w:t xml:space="preserve"> </w:t>
      </w:r>
    </w:p>
    <w:p>
      <w:pPr>
        <w:ind w:firstLine="420"/>
      </w:pPr>
      <w:r>
        <w:rPr>
          <w:rFonts w:hint="eastAsia"/>
        </w:rPr>
        <w:t>下表为依据上图提取的外窗外表面平均风压数据，相当于外窗室内外表面风压差数据，并依据标准做出达标判断：</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pPr>
              <w:jc w:val="center"/>
              <w:rPr>
                <w:sz w:val="18"/>
                <w:szCs w:val="18"/>
                <w:lang w:val="en-US"/>
              </w:rPr>
            </w:pPr>
            <w:bookmarkStart w:id="133" w:name="建筑外窗室内外风压差达标判定"/>
            <w:r>
              <w:rPr>
                <w:rFonts w:hint="eastAsia"/>
                <w:sz w:val="18"/>
                <w:szCs w:val="18"/>
                <w:lang w:val="en-US"/>
              </w:rPr>
              <w:t>建筑编号</w:t>
            </w:r>
          </w:p>
        </w:tc>
        <w:tc>
          <w:tcPr>
            <w:tcW w:w="1559" w:type="dxa"/>
            <w:shd w:val="clear" w:color="auto" w:fill="E6E6E6"/>
            <w:vAlign w:val="center"/>
          </w:tcPr>
          <w:p>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pPr>
              <w:jc w:val="center"/>
              <w:rPr>
                <w:sz w:val="18"/>
                <w:szCs w:val="18"/>
                <w:lang w:val="en-US"/>
              </w:rPr>
            </w:pPr>
            <w:r>
              <w:rPr>
                <w:rFonts w:hint="eastAsia"/>
                <w:sz w:val="18"/>
                <w:szCs w:val="18"/>
                <w:lang w:val="en-US"/>
              </w:rPr>
              <w:t>达标比例（%）</w:t>
            </w:r>
          </w:p>
        </w:tc>
        <w:tc>
          <w:tcPr>
            <w:tcW w:w="1011" w:type="dxa"/>
            <w:shd w:val="clear" w:color="auto" w:fill="E6E6E6"/>
            <w:vAlign w:val="center"/>
          </w:tcPr>
          <w:p>
            <w:pPr>
              <w:jc w:val="center"/>
              <w:rPr>
                <w:sz w:val="18"/>
                <w:szCs w:val="18"/>
                <w:lang w:val="en-US"/>
              </w:rPr>
            </w:pPr>
            <w:r>
              <w:rPr>
                <w:rFonts w:hint="eastAsia"/>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pPr>
              <w:jc w:val="center"/>
              <w:rPr>
                <w:sz w:val="18"/>
                <w:szCs w:val="18"/>
                <w:lang w:val="en-US"/>
              </w:rPr>
            </w:pPr>
            <w:r>
              <w:rPr>
                <w:sz w:val="18"/>
                <w:szCs w:val="18"/>
                <w:lang w:val="en-US"/>
              </w:rPr>
              <w:t>泉水博物馆单体链接_T8</w:t>
            </w:r>
          </w:p>
        </w:tc>
        <w:tc>
          <w:tcPr>
            <w:tcW w:w="1559" w:type="dxa"/>
            <w:shd w:val="clear" w:color="auto" w:fill="auto"/>
            <w:vAlign w:val="center"/>
          </w:tcPr>
          <w:p>
            <w:pPr>
              <w:jc w:val="center"/>
              <w:rPr>
                <w:sz w:val="18"/>
                <w:szCs w:val="18"/>
                <w:lang w:val="en-US"/>
              </w:rPr>
            </w:pPr>
            <w:r>
              <w:rPr>
                <w:sz w:val="18"/>
                <w:szCs w:val="18"/>
                <w:lang w:val="en-US"/>
              </w:rPr>
              <w:t>43</w:t>
            </w:r>
          </w:p>
        </w:tc>
        <w:tc>
          <w:tcPr>
            <w:tcW w:w="3544" w:type="dxa"/>
            <w:shd w:val="clear" w:color="auto" w:fill="auto"/>
            <w:vAlign w:val="center"/>
          </w:tcPr>
          <w:p>
            <w:pPr>
              <w:jc w:val="center"/>
              <w:rPr>
                <w:sz w:val="18"/>
                <w:szCs w:val="18"/>
                <w:lang w:val="en-US"/>
              </w:rPr>
            </w:pPr>
            <w:r>
              <w:rPr>
                <w:sz w:val="18"/>
                <w:szCs w:val="18"/>
                <w:lang w:val="en-US"/>
              </w:rPr>
              <w:t>40</w:t>
            </w:r>
          </w:p>
        </w:tc>
        <w:tc>
          <w:tcPr>
            <w:tcW w:w="1116" w:type="dxa"/>
            <w:shd w:val="clear" w:color="auto" w:fill="auto"/>
            <w:vAlign w:val="center"/>
          </w:tcPr>
          <w:p>
            <w:pPr>
              <w:jc w:val="center"/>
              <w:rPr>
                <w:sz w:val="18"/>
                <w:szCs w:val="18"/>
                <w:lang w:val="en-US"/>
              </w:rPr>
            </w:pPr>
            <w:r>
              <w:rPr>
                <w:sz w:val="18"/>
                <w:szCs w:val="18"/>
                <w:lang w:val="en-US"/>
              </w:rPr>
              <w:t>93.02</w:t>
            </w:r>
          </w:p>
        </w:tc>
        <w:tc>
          <w:tcPr>
            <w:tcW w:w="1011" w:type="dxa"/>
            <w:shd w:val="clear" w:color="auto" w:fill="auto"/>
            <w:vAlign w:val="center"/>
          </w:tcPr>
          <w:p>
            <w:pPr>
              <w:jc w:val="center"/>
              <w:rPr>
                <w:sz w:val="18"/>
                <w:szCs w:val="18"/>
                <w:lang w:val="en-US"/>
              </w:rPr>
            </w:pPr>
            <w:r>
              <w:rPr>
                <w:sz w:val="18"/>
                <w:szCs w:val="18"/>
                <w:lang w:val="en-US"/>
              </w:rPr>
              <w:t>是</w:t>
            </w:r>
          </w:p>
        </w:tc>
      </w:tr>
      <w:bookmarkEnd w:id="133"/>
    </w:tbl>
    <w:p>
      <w:pPr>
        <w:rPr>
          <w:sz w:val="18"/>
          <w:szCs w:val="18"/>
        </w:rPr>
      </w:pPr>
      <w:r>
        <w:rPr>
          <w:rFonts w:hint="eastAsia"/>
          <w:sz w:val="18"/>
          <w:szCs w:val="18"/>
          <w:lang w:val="en-US"/>
        </w:rPr>
        <w:t>说明：达标比例＝（室内外风压差大于0.5Pa的总数/可开启外窗总数）*100％</w:t>
      </w:r>
    </w:p>
    <w:p>
      <w:pPr>
        <w:rPr>
          <w:lang w:val="en-US"/>
        </w:rPr>
      </w:pPr>
    </w:p>
    <w:p/>
    <w:p>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4"/>
      <w:r>
        <w:rPr>
          <w:rFonts w:hint="eastAsia"/>
          <w:lang w:val="en-US"/>
        </w:rPr>
        <w:t xml:space="preserve"> </w:t>
      </w:r>
    </w:p>
    <w:p>
      <w:pPr>
        <w:pStyle w:val="4"/>
      </w:pPr>
      <w:bookmarkStart w:id="135" w:name="_Toc16460"/>
      <w:r>
        <w:rPr>
          <w:rFonts w:hint="eastAsia"/>
        </w:rPr>
        <w:t>过渡季工况</w:t>
      </w:r>
      <w:bookmarkEnd w:id="135"/>
    </w:p>
    <w:p>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ind w:firstLine="420"/>
      </w:pPr>
      <w:r>
        <w:rPr>
          <w:rFonts w:hint="eastAsia"/>
          <w:lang w:val="en-US"/>
        </w:rPr>
        <w:t>注：无风区的定义参考《</w:t>
      </w:r>
      <w:r>
        <w:rPr>
          <w:rFonts w:hint="eastAsia"/>
        </w:rPr>
        <w:t>建筑设计资料集</w:t>
      </w:r>
      <w:r>
        <w:rPr>
          <w:rFonts w:hint="eastAsia"/>
          <w:lang w:val="en-US"/>
        </w:rPr>
        <w:t>》第一分册，第二版。</w:t>
      </w:r>
    </w:p>
    <w:p>
      <w:pPr>
        <w:pStyle w:val="5"/>
      </w:pPr>
      <w:r>
        <w:rPr>
          <w:rFonts w:hint="eastAsia"/>
        </w:rPr>
        <w:t>人活动区域无风区计算分析</w:t>
      </w:r>
      <w:bookmarkEnd w:id="8"/>
    </w:p>
    <w:p>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pPr>
        <w:pStyle w:val="5"/>
      </w:pPr>
      <w:r>
        <w:rPr>
          <w:rFonts w:hint="eastAsia"/>
        </w:rPr>
        <w:t>人活动区域旋涡区分析</w:t>
      </w:r>
      <w:bookmarkEnd w:id="10"/>
    </w:p>
    <w:p>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pPr>
        <w:pStyle w:val="5"/>
      </w:pPr>
      <w:r>
        <w:rPr>
          <w:rFonts w:hint="eastAsia"/>
        </w:rPr>
        <w:t>人活动区域旋涡区/无风区达标</w:t>
      </w:r>
      <w:bookmarkEnd w:id="13"/>
      <w:r>
        <w:rPr>
          <w:rFonts w:hint="eastAsia"/>
        </w:rPr>
        <w:t>结果汇总</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FF0000"/>
                <w:sz w:val="18"/>
                <w:szCs w:val="18"/>
                <w:lang w:val="en-US"/>
              </w:rPr>
              <w:t>是</w:t>
            </w:r>
            <w:bookmarkEnd w:id="14"/>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FF0000"/>
                <w:sz w:val="18"/>
                <w:szCs w:val="18"/>
                <w:lang w:val="en-US"/>
              </w:rPr>
              <w:t>否</w:t>
            </w:r>
            <w:bookmarkEnd w:id="16"/>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pPr>
        <w:pStyle w:val="5"/>
      </w:pPr>
      <w:r>
        <w:rPr>
          <w:rFonts w:hint="eastAsia"/>
        </w:rPr>
        <w:t>外窗内外表面风压</w:t>
      </w:r>
      <w:bookmarkEnd w:id="19"/>
      <w:r>
        <w:rPr>
          <w:rFonts w:hint="eastAsia"/>
        </w:rPr>
        <w:t>差达标分析</w:t>
      </w:r>
    </w:p>
    <w:p>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pPr>
        <w:pStyle w:val="3"/>
        <w:ind w:firstLine="0" w:firstLineChars="0"/>
        <w:jc w:val="center"/>
        <w:rPr>
          <w:rFonts w:ascii="微软雅黑" w:hAnsi="微软雅黑" w:eastAsia="微软雅黑"/>
        </w:rPr>
      </w:pPr>
      <w:r>
        <w:drawing>
          <wp:inline distT="0" distB="0" distL="0" distR="0">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pPr>
        <w:jc w:val="center"/>
        <w:rPr>
          <w:rFonts w:ascii="微软雅黑" w:hAnsi="微软雅黑" w:eastAsia="微软雅黑"/>
        </w:rPr>
      </w:pPr>
      <w:r>
        <w:drawing>
          <wp:inline distT="0" distB="0" distL="0" distR="0">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pPr>
        <w:ind w:firstLine="420"/>
      </w:pPr>
      <w:r>
        <w:rPr>
          <w:rFonts w:hint="eastAsia"/>
        </w:rPr>
        <w:t>下表为依据上图提取的外窗外表面平均风压数据，相当于外窗室内外表面风压差数据，并依据标准做出达标判断：</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pPr>
              <w:jc w:val="center"/>
              <w:rPr>
                <w:sz w:val="18"/>
                <w:szCs w:val="18"/>
                <w:lang w:val="en-US"/>
              </w:rPr>
            </w:pPr>
            <w:r>
              <w:rPr>
                <w:rFonts w:hint="eastAsia"/>
                <w:sz w:val="18"/>
                <w:szCs w:val="18"/>
                <w:lang w:val="en-US"/>
              </w:rPr>
              <w:t>建筑编号</w:t>
            </w:r>
          </w:p>
        </w:tc>
        <w:tc>
          <w:tcPr>
            <w:tcW w:w="1559" w:type="dxa"/>
            <w:shd w:val="clear" w:color="auto" w:fill="E6E6E6"/>
            <w:vAlign w:val="center"/>
          </w:tcPr>
          <w:p>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pPr>
              <w:jc w:val="center"/>
              <w:rPr>
                <w:sz w:val="18"/>
                <w:szCs w:val="18"/>
                <w:lang w:val="en-US"/>
              </w:rPr>
            </w:pPr>
            <w:r>
              <w:rPr>
                <w:rFonts w:hint="eastAsia"/>
                <w:sz w:val="18"/>
                <w:szCs w:val="18"/>
                <w:lang w:val="en-US"/>
              </w:rPr>
              <w:t>达标比例（%）</w:t>
            </w:r>
          </w:p>
        </w:tc>
        <w:tc>
          <w:tcPr>
            <w:tcW w:w="1011" w:type="dxa"/>
            <w:shd w:val="clear" w:color="auto" w:fill="E6E6E6"/>
            <w:vAlign w:val="center"/>
          </w:tcPr>
          <w:p>
            <w:pPr>
              <w:jc w:val="center"/>
              <w:rPr>
                <w:sz w:val="18"/>
                <w:szCs w:val="18"/>
                <w:lang w:val="en-US"/>
              </w:rPr>
            </w:pPr>
            <w:r>
              <w:rPr>
                <w:rFonts w:hint="eastAsia"/>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pPr>
              <w:jc w:val="center"/>
              <w:rPr>
                <w:sz w:val="18"/>
                <w:szCs w:val="18"/>
                <w:lang w:val="en-US"/>
              </w:rPr>
            </w:pPr>
            <w:r>
              <w:rPr>
                <w:sz w:val="18"/>
                <w:szCs w:val="18"/>
                <w:lang w:val="en-US"/>
              </w:rPr>
              <w:t>泉水博物馆单体链接_T8</w:t>
            </w:r>
          </w:p>
        </w:tc>
        <w:tc>
          <w:tcPr>
            <w:tcW w:w="1559" w:type="dxa"/>
            <w:shd w:val="clear" w:color="auto" w:fill="auto"/>
            <w:vAlign w:val="center"/>
          </w:tcPr>
          <w:p>
            <w:pPr>
              <w:jc w:val="center"/>
              <w:rPr>
                <w:sz w:val="18"/>
                <w:szCs w:val="18"/>
                <w:lang w:val="en-US"/>
              </w:rPr>
            </w:pPr>
            <w:r>
              <w:rPr>
                <w:sz w:val="18"/>
                <w:szCs w:val="18"/>
                <w:lang w:val="en-US"/>
              </w:rPr>
              <w:t>43</w:t>
            </w:r>
          </w:p>
        </w:tc>
        <w:tc>
          <w:tcPr>
            <w:tcW w:w="3544" w:type="dxa"/>
            <w:shd w:val="clear" w:color="auto" w:fill="auto"/>
            <w:vAlign w:val="center"/>
          </w:tcPr>
          <w:p>
            <w:pPr>
              <w:jc w:val="center"/>
              <w:rPr>
                <w:sz w:val="18"/>
                <w:szCs w:val="18"/>
                <w:lang w:val="en-US"/>
              </w:rPr>
            </w:pPr>
            <w:r>
              <w:rPr>
                <w:sz w:val="18"/>
                <w:szCs w:val="18"/>
                <w:lang w:val="en-US"/>
              </w:rPr>
              <w:t>41</w:t>
            </w:r>
          </w:p>
        </w:tc>
        <w:tc>
          <w:tcPr>
            <w:tcW w:w="1116" w:type="dxa"/>
            <w:shd w:val="clear" w:color="auto" w:fill="auto"/>
            <w:vAlign w:val="center"/>
          </w:tcPr>
          <w:p>
            <w:pPr>
              <w:jc w:val="center"/>
              <w:rPr>
                <w:sz w:val="18"/>
                <w:szCs w:val="18"/>
                <w:lang w:val="en-US"/>
              </w:rPr>
            </w:pPr>
            <w:r>
              <w:rPr>
                <w:sz w:val="18"/>
                <w:szCs w:val="18"/>
                <w:lang w:val="en-US"/>
              </w:rPr>
              <w:t>95.35</w:t>
            </w:r>
          </w:p>
        </w:tc>
        <w:tc>
          <w:tcPr>
            <w:tcW w:w="1011" w:type="dxa"/>
            <w:shd w:val="clear" w:color="auto" w:fill="auto"/>
            <w:vAlign w:val="center"/>
          </w:tcPr>
          <w:p>
            <w:pPr>
              <w:jc w:val="center"/>
              <w:rPr>
                <w:sz w:val="18"/>
                <w:szCs w:val="18"/>
                <w:lang w:val="en-US"/>
              </w:rPr>
            </w:pPr>
            <w:r>
              <w:rPr>
                <w:sz w:val="18"/>
                <w:szCs w:val="18"/>
                <w:lang w:val="en-US"/>
              </w:rPr>
              <w:t>是</w:t>
            </w:r>
          </w:p>
        </w:tc>
      </w:tr>
    </w:tbl>
    <w:p>
      <w:pPr>
        <w:rPr>
          <w:sz w:val="18"/>
          <w:szCs w:val="18"/>
        </w:rPr>
      </w:pPr>
      <w:r>
        <w:rPr>
          <w:rFonts w:hint="eastAsia"/>
          <w:sz w:val="18"/>
          <w:szCs w:val="18"/>
          <w:lang w:val="en-US"/>
        </w:rPr>
        <w:t>说明：达标比例＝（室内外风压差大于0.5Pa的总数/可开启外窗总数）*100％</w:t>
      </w:r>
    </w:p>
    <w:bookmarkEnd w:id="26"/>
    <w:p>
      <w:pPr>
        <w:rPr>
          <w:lang w:val="en-US"/>
        </w:rPr>
      </w:pPr>
    </w:p>
    <w:p/>
    <w:p>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pPr>
        <w:rPr>
          <w:lang w:val="en-US"/>
        </w:rPr>
      </w:pPr>
      <w:bookmarkStart w:id="136" w:name="其他工况"/>
      <w:bookmarkEnd w:id="136"/>
      <w:r>
        <w:rPr>
          <w:rFonts w:hint="eastAsia"/>
          <w:lang w:val="en-US"/>
        </w:rPr>
        <w:t xml:space="preserve"> </w:t>
      </w:r>
    </w:p>
    <w:p>
      <w:pPr>
        <w:pStyle w:val="2"/>
      </w:pPr>
      <w:bookmarkStart w:id="137" w:name="_Toc509844764"/>
      <w:bookmarkStart w:id="138" w:name="_Toc16387"/>
      <w:r>
        <w:rPr>
          <w:rFonts w:hint="eastAsia"/>
        </w:rPr>
        <w:t>结论</w:t>
      </w:r>
      <w:bookmarkEnd w:id="137"/>
      <w:bookmarkEnd w:id="138"/>
    </w:p>
    <w:p>
      <w:pPr>
        <w:pStyle w:val="4"/>
      </w:pPr>
      <w:bookmarkStart w:id="139" w:name="_Toc509844765"/>
      <w:bookmarkStart w:id="140" w:name="_Toc23687"/>
      <w:r>
        <w:rPr>
          <w:rFonts w:hint="eastAsia"/>
        </w:rPr>
        <w:t>冬季工况达标判断</w:t>
      </w:r>
      <w:bookmarkEnd w:id="139"/>
      <w:bookmarkEnd w:id="140"/>
      <w:bookmarkStart w:id="141" w:name="_Toc509844766"/>
      <w:bookmarkEnd w:id="141"/>
    </w:p>
    <w:p>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pPr>
              <w:rPr>
                <w:sz w:val="18"/>
                <w:szCs w:val="18"/>
                <w:lang w:val="en-US"/>
              </w:rPr>
            </w:pPr>
            <w:r>
              <w:rPr>
                <w:rFonts w:hint="eastAsia"/>
                <w:sz w:val="18"/>
                <w:szCs w:val="18"/>
                <w:lang w:val="en-US"/>
              </w:rPr>
              <w:t>评价项目</w:t>
            </w:r>
          </w:p>
        </w:tc>
        <w:tc>
          <w:tcPr>
            <w:tcW w:w="2409" w:type="dxa"/>
            <w:shd w:val="clear" w:color="auto" w:fill="E6E6E6"/>
          </w:tcPr>
          <w:p>
            <w:pPr>
              <w:rPr>
                <w:sz w:val="18"/>
                <w:szCs w:val="18"/>
                <w:lang w:val="en-US"/>
              </w:rPr>
            </w:pPr>
            <w:r>
              <w:rPr>
                <w:rFonts w:hint="eastAsia"/>
                <w:sz w:val="18"/>
                <w:szCs w:val="18"/>
                <w:lang w:val="en-US"/>
              </w:rPr>
              <w:t>标准要求</w:t>
            </w:r>
          </w:p>
        </w:tc>
        <w:tc>
          <w:tcPr>
            <w:tcW w:w="2127" w:type="dxa"/>
            <w:shd w:val="clear" w:color="auto" w:fill="E6E6E6"/>
            <w:vAlign w:val="center"/>
          </w:tcPr>
          <w:p>
            <w:pPr>
              <w:rPr>
                <w:sz w:val="18"/>
                <w:szCs w:val="18"/>
                <w:lang w:val="en-US"/>
              </w:rPr>
            </w:pPr>
            <w:r>
              <w:rPr>
                <w:rFonts w:hint="eastAsia"/>
                <w:sz w:val="18"/>
                <w:szCs w:val="18"/>
                <w:lang w:val="en-US"/>
              </w:rPr>
              <w:t>项目计算结果</w:t>
            </w:r>
          </w:p>
        </w:tc>
        <w:tc>
          <w:tcPr>
            <w:tcW w:w="1258" w:type="dxa"/>
            <w:shd w:val="clear" w:color="auto" w:fill="E6E6E6"/>
          </w:tcPr>
          <w:p>
            <w:pPr>
              <w:rPr>
                <w:sz w:val="18"/>
                <w:szCs w:val="18"/>
                <w:lang w:val="en-US"/>
              </w:rPr>
            </w:pPr>
            <w:r>
              <w:rPr>
                <w:rFonts w:hint="eastAsia"/>
                <w:sz w:val="18"/>
                <w:szCs w:val="18"/>
                <w:lang w:val="en-US"/>
              </w:rPr>
              <w:t>达标判定</w:t>
            </w:r>
          </w:p>
        </w:tc>
        <w:tc>
          <w:tcPr>
            <w:tcW w:w="992" w:type="dxa"/>
            <w:shd w:val="clear" w:color="auto" w:fill="E6E6E6"/>
          </w:tcPr>
          <w:p>
            <w:pPr>
              <w:rPr>
                <w:sz w:val="18"/>
                <w:szCs w:val="18"/>
                <w:lang w:val="en-US"/>
              </w:rPr>
            </w:pPr>
            <w:r>
              <w:rPr>
                <w:rFonts w:hint="eastAsia"/>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Pr>
                <w:rFonts w:hint="eastAsia"/>
                <w:sz w:val="18"/>
                <w:szCs w:val="18"/>
                <w:lang w:val="en-US"/>
              </w:rPr>
              <w:t>3</w:t>
            </w:r>
            <w:bookmarkEnd w:id="142"/>
            <w:r>
              <w:rPr>
                <w:rFonts w:hint="eastAsia"/>
                <w:sz w:val="18"/>
                <w:szCs w:val="18"/>
                <w:lang w:val="en-US"/>
              </w:rPr>
              <w:t>分；</w:t>
            </w:r>
          </w:p>
        </w:tc>
        <w:tc>
          <w:tcPr>
            <w:tcW w:w="2127" w:type="dxa"/>
            <w:shd w:val="clear" w:color="auto" w:fill="auto"/>
            <w:vAlign w:val="center"/>
          </w:tcPr>
          <w:p>
            <w:pPr>
              <w:spacing w:line="300" w:lineRule="exact"/>
              <w:jc w:val="center"/>
              <w:rPr>
                <w:sz w:val="18"/>
                <w:szCs w:val="18"/>
                <w:lang w:val="en-US"/>
              </w:rPr>
            </w:pPr>
            <w:bookmarkStart w:id="143" w:name="冬季风速结果"/>
            <w:bookmarkEnd w:id="143"/>
            <w:bookmarkStart w:id="144" w:name="冬季风速结果2"/>
            <w:bookmarkEnd w:id="144"/>
            <w:r>
              <w:rPr>
                <w:sz w:val="18"/>
                <w:szCs w:val="18"/>
                <w:lang w:val="en-US"/>
              </w:rPr>
              <w:t>未出现风速超标区域</w:t>
            </w:r>
          </w:p>
        </w:tc>
        <w:tc>
          <w:tcPr>
            <w:tcW w:w="1258" w:type="dxa"/>
            <w:vMerge w:val="restart"/>
            <w:shd w:val="clear" w:color="auto" w:fill="auto"/>
            <w:vAlign w:val="center"/>
          </w:tcPr>
          <w:p>
            <w:pPr>
              <w:spacing w:line="300" w:lineRule="exact"/>
              <w:jc w:val="center"/>
              <w:rPr>
                <w:sz w:val="18"/>
                <w:szCs w:val="18"/>
                <w:lang w:val="en-US"/>
              </w:rPr>
            </w:pPr>
            <w:bookmarkStart w:id="145" w:name="冬季风速达标判定"/>
            <w:r>
              <w:rPr>
                <w:rFonts w:hint="eastAsia"/>
                <w:sz w:val="18"/>
                <w:szCs w:val="18"/>
                <w:lang w:val="en-US"/>
              </w:rPr>
              <w:t>达标</w:t>
            </w:r>
            <w:bookmarkEnd w:id="145"/>
          </w:p>
        </w:tc>
        <w:tc>
          <w:tcPr>
            <w:tcW w:w="992" w:type="dxa"/>
            <w:vMerge w:val="restart"/>
            <w:shd w:val="clear" w:color="auto" w:fill="auto"/>
            <w:vAlign w:val="center"/>
          </w:tcPr>
          <w:p>
            <w:pPr>
              <w:spacing w:line="300" w:lineRule="exact"/>
              <w:jc w:val="center"/>
              <w:rPr>
                <w:sz w:val="18"/>
                <w:szCs w:val="18"/>
                <w:lang w:val="en-US"/>
              </w:rPr>
            </w:pPr>
            <w:bookmarkStart w:id="146" w:name="冬季风速得分"/>
            <w:r>
              <w:rPr>
                <w:rFonts w:hint="eastAsia"/>
                <w:sz w:val="18"/>
                <w:szCs w:val="18"/>
                <w:lang w:val="en-US"/>
              </w:rPr>
              <w:t>3</w:t>
            </w:r>
            <w:bookmarkEnd w:id="146"/>
            <w:r>
              <w:rPr>
                <w:rFonts w:hint="eastAsia"/>
                <w:sz w:val="18"/>
                <w:szCs w:val="18"/>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pPr>
              <w:spacing w:line="300" w:lineRule="exact"/>
              <w:jc w:val="center"/>
              <w:rPr>
                <w:sz w:val="18"/>
                <w:szCs w:val="18"/>
                <w:lang w:val="en-US"/>
              </w:rPr>
            </w:pPr>
          </w:p>
        </w:tc>
        <w:tc>
          <w:tcPr>
            <w:tcW w:w="2127" w:type="dxa"/>
            <w:shd w:val="clear" w:color="auto" w:fill="auto"/>
            <w:vAlign w:val="center"/>
          </w:tcPr>
          <w:p>
            <w:pPr>
              <w:spacing w:line="300" w:lineRule="exact"/>
              <w:jc w:val="center"/>
              <w:rPr>
                <w:sz w:val="18"/>
                <w:szCs w:val="18"/>
                <w:lang w:val="en-US"/>
              </w:rPr>
            </w:pPr>
            <w:bookmarkStart w:id="147" w:name="冬季风速放大系数结果休息区"/>
            <w:bookmarkEnd w:id="147"/>
            <w:bookmarkStart w:id="148" w:name="冬季风速放大系数结果人行区"/>
            <w:bookmarkEnd w:id="148"/>
            <w:r>
              <w:rPr>
                <w:sz w:val="18"/>
                <w:szCs w:val="18"/>
                <w:lang w:val="en-US"/>
              </w:rPr>
              <w:t>未出现风速放大系数大于等于2的区域</w:t>
            </w:r>
          </w:p>
        </w:tc>
        <w:tc>
          <w:tcPr>
            <w:tcW w:w="1258" w:type="dxa"/>
            <w:vMerge w:val="continue"/>
            <w:shd w:val="clear" w:color="auto" w:fill="auto"/>
            <w:vAlign w:val="center"/>
          </w:tcPr>
          <w:p>
            <w:pPr>
              <w:spacing w:line="300" w:lineRule="exact"/>
              <w:jc w:val="center"/>
              <w:rPr>
                <w:sz w:val="18"/>
                <w:szCs w:val="18"/>
                <w:lang w:val="en-US"/>
              </w:rPr>
            </w:pPr>
          </w:p>
        </w:tc>
        <w:tc>
          <w:tcPr>
            <w:tcW w:w="992" w:type="dxa"/>
            <w:vMerge w:val="continue"/>
            <w:shd w:val="clear" w:color="auto" w:fill="auto"/>
            <w:vAlign w:val="center"/>
          </w:tcPr>
          <w:p>
            <w:pPr>
              <w:spacing w:line="300" w:lineRule="exact"/>
              <w:jc w:val="center"/>
              <w:rPr>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9" w:name="标准要求冬季风压得分"/>
            <w:r>
              <w:rPr>
                <w:rFonts w:hint="eastAsia"/>
                <w:sz w:val="18"/>
                <w:szCs w:val="18"/>
                <w:lang w:val="en-US"/>
              </w:rPr>
              <w:t>2</w:t>
            </w:r>
            <w:bookmarkEnd w:id="149"/>
            <w:r>
              <w:rPr>
                <w:rFonts w:hint="eastAsia"/>
                <w:sz w:val="18"/>
                <w:szCs w:val="18"/>
                <w:lang w:val="en-US"/>
              </w:rPr>
              <w:t>分</w:t>
            </w:r>
          </w:p>
        </w:tc>
        <w:tc>
          <w:tcPr>
            <w:tcW w:w="2127" w:type="dxa"/>
            <w:shd w:val="clear" w:color="auto" w:fill="auto"/>
            <w:vAlign w:val="center"/>
          </w:tcPr>
          <w:p>
            <w:pPr>
              <w:spacing w:line="300" w:lineRule="exact"/>
              <w:jc w:val="center"/>
              <w:rPr>
                <w:sz w:val="18"/>
                <w:szCs w:val="18"/>
                <w:lang w:val="en-US"/>
              </w:rPr>
            </w:pPr>
            <w:r>
              <w:rPr>
                <w:rFonts w:hint="eastAsia"/>
                <w:sz w:val="18"/>
                <w:szCs w:val="18"/>
                <w:lang w:val="en-US"/>
              </w:rPr>
              <w:t>本项目</w:t>
            </w:r>
            <w:bookmarkStart w:id="150" w:name="冬季迎背风面结果"/>
            <w:r>
              <w:t>没有出现</w:t>
            </w:r>
            <w:bookmarkEnd w:id="150"/>
            <w:r>
              <w:rPr>
                <w:rFonts w:hint="eastAsia"/>
                <w:sz w:val="18"/>
                <w:szCs w:val="18"/>
                <w:lang w:val="en-US"/>
              </w:rPr>
              <w:t>建筑迎风面与背风面表面风压差大于5Pa的建筑</w:t>
            </w:r>
          </w:p>
        </w:tc>
        <w:tc>
          <w:tcPr>
            <w:tcW w:w="1258" w:type="dxa"/>
            <w:shd w:val="clear" w:color="auto" w:fill="auto"/>
            <w:vAlign w:val="center"/>
          </w:tcPr>
          <w:p>
            <w:pPr>
              <w:spacing w:line="300" w:lineRule="exact"/>
              <w:jc w:val="center"/>
              <w:rPr>
                <w:sz w:val="18"/>
                <w:szCs w:val="18"/>
                <w:lang w:val="en-US"/>
              </w:rPr>
            </w:pPr>
            <w:bookmarkStart w:id="151" w:name="冬季迎背风面达标判定"/>
            <w:r>
              <w:rPr>
                <w:rFonts w:hint="eastAsia"/>
                <w:sz w:val="18"/>
                <w:szCs w:val="18"/>
                <w:lang w:val="en-US"/>
              </w:rPr>
              <w:t>达标</w:t>
            </w:r>
            <w:bookmarkEnd w:id="151"/>
          </w:p>
        </w:tc>
        <w:tc>
          <w:tcPr>
            <w:tcW w:w="992" w:type="dxa"/>
            <w:shd w:val="clear" w:color="auto" w:fill="auto"/>
            <w:vAlign w:val="center"/>
          </w:tcPr>
          <w:p>
            <w:pPr>
              <w:spacing w:line="300" w:lineRule="exact"/>
              <w:jc w:val="center"/>
              <w:rPr>
                <w:sz w:val="18"/>
                <w:szCs w:val="18"/>
                <w:lang w:val="en-US"/>
              </w:rPr>
            </w:pPr>
            <w:bookmarkStart w:id="152" w:name="冬季迎背风面得分"/>
            <w:r>
              <w:rPr>
                <w:rFonts w:hint="eastAsia"/>
                <w:sz w:val="18"/>
                <w:szCs w:val="18"/>
                <w:lang w:val="en-US"/>
              </w:rPr>
              <w:t>2</w:t>
            </w:r>
            <w:bookmarkEnd w:id="152"/>
            <w:r>
              <w:rPr>
                <w:rFonts w:hint="eastAsia"/>
                <w:sz w:val="18"/>
                <w:szCs w:val="18"/>
                <w:lang w:val="en-US"/>
              </w:rPr>
              <w:t>分</w:t>
            </w:r>
          </w:p>
        </w:tc>
      </w:tr>
    </w:tbl>
    <w:p>
      <w:pPr>
        <w:rPr>
          <w:sz w:val="18"/>
          <w:szCs w:val="18"/>
          <w:lang w:val="en-US"/>
        </w:rPr>
      </w:pPr>
      <w:bookmarkStart w:id="153" w:name="_Toc509844768"/>
      <w:bookmarkEnd w:id="153"/>
      <w:bookmarkStart w:id="154" w:name="_Toc509844767"/>
      <w:bookmarkEnd w:id="154"/>
    </w:p>
    <w:bookmarkEnd w:id="1"/>
    <w:p>
      <w:pPr>
        <w:pStyle w:val="4"/>
      </w:pPr>
      <w:bookmarkStart w:id="155" w:name="_Toc509844769"/>
      <w:bookmarkStart w:id="156" w:name="_Toc7473"/>
      <w:r>
        <w:rPr>
          <w:rFonts w:hint="eastAsia"/>
        </w:rPr>
        <w:t>过渡季、夏季工况达标判断</w:t>
      </w:r>
      <w:bookmarkEnd w:id="155"/>
      <w:bookmarkEnd w:id="156"/>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7" w:name="标准要求夏季风速得分"/>
            <w:r>
              <w:rPr>
                <w:rFonts w:hint="eastAsia" w:ascii="微软雅黑" w:hAnsi="微软雅黑" w:eastAsia="微软雅黑"/>
                <w:sz w:val="18"/>
                <w:szCs w:val="18"/>
                <w:lang w:val="en-US"/>
              </w:rPr>
              <w:t>3</w:t>
            </w:r>
            <w:bookmarkEnd w:id="157"/>
            <w:r>
              <w:rPr>
                <w:rFonts w:hint="eastAsia" w:ascii="微软雅黑" w:hAnsi="微软雅黑" w:eastAsia="微软雅黑"/>
                <w:sz w:val="18"/>
                <w:szCs w:val="18"/>
                <w:lang w:val="en-US"/>
              </w:rPr>
              <w:t>分</w:t>
            </w:r>
          </w:p>
        </w:tc>
        <w:tc>
          <w:tcPr>
            <w:tcW w:w="1985" w:type="dxa"/>
            <w:shd w:val="clear" w:color="auto" w:fill="auto"/>
            <w:vAlign w:val="center"/>
          </w:tcPr>
          <w:p>
            <w:pPr>
              <w:jc w:val="center"/>
              <w:rPr>
                <w:rFonts w:ascii="微软雅黑" w:hAnsi="微软雅黑" w:eastAsia="微软雅黑"/>
                <w:sz w:val="18"/>
                <w:szCs w:val="18"/>
                <w:lang w:val="en-US"/>
              </w:rPr>
            </w:pPr>
            <w:bookmarkStart w:id="158" w:name="夏季无风区结果人活动区文字"/>
            <w:r>
              <w:rPr>
                <w:rFonts w:hint="eastAsia" w:ascii="微软雅黑" w:hAnsi="微软雅黑" w:eastAsia="微软雅黑"/>
                <w:sz w:val="18"/>
                <w:szCs w:val="18"/>
                <w:lang w:val="en-US"/>
              </w:rPr>
              <w:t>人活动区</w:t>
            </w:r>
            <w:bookmarkStart w:id="159" w:name="夏季无风区结果"/>
            <w:r>
              <w:rPr>
                <w:color w:val="FF0000"/>
              </w:rPr>
              <w:t>有</w:t>
            </w:r>
            <w:bookmarkEnd w:id="158"/>
            <w:bookmarkEnd w:id="159"/>
            <w:r>
              <w:rPr>
                <w:rFonts w:hint="eastAsia" w:ascii="微软雅黑" w:hAnsi="微软雅黑" w:eastAsia="微软雅黑"/>
                <w:sz w:val="18"/>
                <w:szCs w:val="18"/>
                <w:lang w:val="en-US"/>
              </w:rPr>
              <w:t>无风区</w:t>
            </w:r>
          </w:p>
        </w:tc>
        <w:tc>
          <w:tcPr>
            <w:tcW w:w="1417" w:type="dxa"/>
            <w:vMerge w:val="restart"/>
            <w:shd w:val="clear" w:color="auto" w:fill="auto"/>
            <w:vAlign w:val="center"/>
          </w:tcPr>
          <w:p>
            <w:pPr>
              <w:jc w:val="center"/>
              <w:rPr>
                <w:rFonts w:ascii="微软雅黑" w:hAnsi="微软雅黑" w:eastAsia="微软雅黑"/>
                <w:sz w:val="18"/>
                <w:szCs w:val="18"/>
                <w:lang w:val="en-US"/>
              </w:rPr>
            </w:pPr>
            <w:bookmarkStart w:id="160" w:name="夏季无风区达标判定"/>
            <w:r>
              <w:rPr>
                <w:rFonts w:hint="eastAsia" w:ascii="微软雅黑" w:hAnsi="微软雅黑" w:eastAsia="微软雅黑"/>
                <w:b/>
                <w:color w:val="FF0000"/>
                <w:sz w:val="18"/>
                <w:szCs w:val="18"/>
                <w:lang w:val="en-US"/>
              </w:rPr>
              <w:t>不达标</w:t>
            </w:r>
            <w:bookmarkEnd w:id="160"/>
          </w:p>
        </w:tc>
        <w:tc>
          <w:tcPr>
            <w:tcW w:w="1276" w:type="dxa"/>
            <w:vMerge w:val="restart"/>
            <w:shd w:val="clear" w:color="auto" w:fill="auto"/>
            <w:vAlign w:val="center"/>
          </w:tcPr>
          <w:p>
            <w:pPr>
              <w:jc w:val="center"/>
              <w:rPr>
                <w:rFonts w:ascii="微软雅黑" w:hAnsi="微软雅黑" w:eastAsia="微软雅黑"/>
                <w:sz w:val="18"/>
                <w:szCs w:val="18"/>
                <w:lang w:val="en-US"/>
              </w:rPr>
            </w:pPr>
            <w:bookmarkStart w:id="161" w:name="夏季无风区得分"/>
            <w:r>
              <w:rPr>
                <w:rFonts w:hint="eastAsia" w:ascii="微软雅黑" w:hAnsi="微软雅黑" w:eastAsia="微软雅黑"/>
                <w:sz w:val="18"/>
                <w:szCs w:val="18"/>
                <w:lang w:val="en-US"/>
              </w:rPr>
              <w:t>0</w:t>
            </w:r>
            <w:bookmarkEnd w:id="161"/>
            <w:r>
              <w:rPr>
                <w:rFonts w:hint="eastAsia" w:ascii="微软雅黑" w:hAnsi="微软雅黑" w:eastAsia="微软雅黑"/>
                <w:sz w:val="18"/>
                <w:szCs w:val="18"/>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pPr>
              <w:jc w:val="center"/>
              <w:rPr>
                <w:rFonts w:ascii="微软雅黑" w:hAnsi="微软雅黑" w:eastAsia="微软雅黑"/>
                <w:sz w:val="18"/>
                <w:szCs w:val="18"/>
                <w:lang w:val="en-US"/>
              </w:rPr>
            </w:pPr>
          </w:p>
        </w:tc>
        <w:tc>
          <w:tcPr>
            <w:tcW w:w="1985" w:type="dxa"/>
            <w:shd w:val="clear" w:color="auto" w:fill="auto"/>
            <w:vAlign w:val="center"/>
          </w:tcPr>
          <w:p>
            <w:pPr>
              <w:jc w:val="center"/>
              <w:rPr>
                <w:rFonts w:ascii="微软雅黑" w:hAnsi="微软雅黑" w:eastAsia="微软雅黑"/>
                <w:sz w:val="18"/>
                <w:szCs w:val="18"/>
                <w:lang w:val="en-US"/>
              </w:rPr>
            </w:pPr>
            <w:bookmarkStart w:id="162" w:name="夏季旋涡区结果人活动区文字"/>
            <w:r>
              <w:rPr>
                <w:rFonts w:hint="eastAsia" w:ascii="微软雅黑" w:hAnsi="微软雅黑" w:eastAsia="微软雅黑"/>
                <w:sz w:val="18"/>
                <w:szCs w:val="18"/>
                <w:lang w:val="en-US"/>
              </w:rPr>
              <w:t>人活动区</w:t>
            </w:r>
            <w:bookmarkEnd w:id="162"/>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pPr>
              <w:jc w:val="center"/>
              <w:rPr>
                <w:rFonts w:ascii="微软雅黑" w:hAnsi="微软雅黑" w:eastAsia="微软雅黑"/>
                <w:sz w:val="18"/>
                <w:szCs w:val="18"/>
                <w:lang w:val="en-US"/>
              </w:rPr>
            </w:pPr>
          </w:p>
        </w:tc>
        <w:tc>
          <w:tcPr>
            <w:tcW w:w="1276" w:type="dxa"/>
            <w:vMerge w:val="continue"/>
            <w:shd w:val="clear" w:color="auto" w:fill="auto"/>
            <w:vAlign w:val="center"/>
          </w:tcPr>
          <w:p>
            <w:pPr>
              <w:jc w:val="center"/>
              <w:rPr>
                <w:rFonts w:ascii="微软雅黑" w:hAnsi="微软雅黑" w:eastAsia="微软雅黑"/>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3" w:name="标准要求夏季风压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4" w:name="夏季窗内外风压差结果"/>
            <w:r>
              <w:rPr>
                <w:rFonts w:hint="eastAsia" w:ascii="微软雅黑" w:hAnsi="微软雅黑" w:eastAsia="微软雅黑"/>
                <w:sz w:val="18"/>
                <w:szCs w:val="18"/>
                <w:lang w:val="en-US"/>
              </w:rPr>
              <w:t>满足</w:t>
            </w:r>
            <w:bookmarkEnd w:id="164"/>
            <w:r>
              <w:rPr>
                <w:rFonts w:hint="eastAsia" w:ascii="微软雅黑" w:hAnsi="微软雅黑" w:eastAsia="微软雅黑"/>
                <w:sz w:val="18"/>
                <w:szCs w:val="18"/>
                <w:lang w:val="en-US"/>
              </w:rPr>
              <w:t>标准要求</w:t>
            </w:r>
          </w:p>
        </w:tc>
        <w:tc>
          <w:tcPr>
            <w:tcW w:w="1417" w:type="dxa"/>
            <w:shd w:val="clear" w:color="auto" w:fill="auto"/>
            <w:vAlign w:val="center"/>
          </w:tcPr>
          <w:p>
            <w:pPr>
              <w:jc w:val="center"/>
              <w:rPr>
                <w:rFonts w:ascii="微软雅黑" w:hAnsi="微软雅黑" w:eastAsia="微软雅黑"/>
                <w:b/>
                <w:sz w:val="18"/>
                <w:szCs w:val="18"/>
                <w:lang w:val="en-US"/>
              </w:rPr>
            </w:pPr>
            <w:bookmarkStart w:id="165" w:name="夏季窗内外风压差达标判定"/>
            <w:r>
              <w:rPr>
                <w:rFonts w:hint="eastAsia" w:ascii="微软雅黑" w:hAnsi="微软雅黑" w:eastAsia="微软雅黑"/>
                <w:b/>
                <w:sz w:val="18"/>
                <w:szCs w:val="18"/>
                <w:lang w:val="en-US"/>
              </w:rPr>
              <w:t>达标</w:t>
            </w:r>
            <w:bookmarkEnd w:id="165"/>
          </w:p>
        </w:tc>
        <w:tc>
          <w:tcPr>
            <w:tcW w:w="1276" w:type="dxa"/>
            <w:shd w:val="clear" w:color="auto" w:fill="auto"/>
            <w:vAlign w:val="center"/>
          </w:tcPr>
          <w:p>
            <w:pPr>
              <w:jc w:val="center"/>
              <w:rPr>
                <w:rFonts w:ascii="微软雅黑" w:hAnsi="微软雅黑" w:eastAsia="微软雅黑"/>
                <w:sz w:val="18"/>
                <w:szCs w:val="18"/>
                <w:lang w:val="en-US"/>
              </w:rPr>
            </w:pPr>
            <w:bookmarkStart w:id="166" w:name="夏季窗内外风压差得分"/>
            <w:r>
              <w:rPr>
                <w:rFonts w:hint="eastAsia" w:ascii="微软雅黑" w:hAnsi="微软雅黑" w:eastAsia="微软雅黑"/>
                <w:sz w:val="18"/>
                <w:szCs w:val="18"/>
                <w:lang w:val="en-US"/>
              </w:rPr>
              <w:t>2</w:t>
            </w:r>
            <w:bookmarkEnd w:id="166"/>
            <w:r>
              <w:rPr>
                <w:rFonts w:hint="eastAsia" w:ascii="微软雅黑" w:hAnsi="微软雅黑" w:eastAsia="微软雅黑"/>
                <w:sz w:val="18"/>
                <w:szCs w:val="18"/>
                <w:lang w:val="en-US"/>
              </w:rPr>
              <w:t>分</w:t>
            </w:r>
          </w:p>
        </w:tc>
      </w:tr>
    </w:tbl>
    <w:p>
      <w:pPr>
        <w:rPr>
          <w:rFonts w:ascii="微软雅黑" w:hAnsi="微软雅黑" w:eastAsia="微软雅黑"/>
          <w:szCs w:val="21"/>
          <w:lang w:val="en-US"/>
        </w:rPr>
      </w:pPr>
    </w:p>
    <w:p>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7" w:name="总得分"/>
      <w:r>
        <w:rPr>
          <w:rFonts w:hint="eastAsia" w:ascii="微软雅黑" w:hAnsi="微软雅黑" w:eastAsia="微软雅黑"/>
          <w:lang w:val="en-US"/>
        </w:rPr>
        <w:t>7</w:t>
      </w:r>
      <w:bookmarkEnd w:id="167"/>
      <w:r>
        <w:rPr>
          <w:rFonts w:hint="eastAsia" w:ascii="微软雅黑" w:hAnsi="微软雅黑" w:eastAsia="微软雅黑"/>
          <w:lang w:val="en-US"/>
        </w:rPr>
        <w:t>分。</w:t>
      </w:r>
    </w:p>
    <w:p>
      <w:pPr>
        <w:pStyle w:val="2"/>
      </w:pPr>
      <w:bookmarkStart w:id="168" w:name="_Toc7423"/>
      <w:bookmarkStart w:id="169" w:name="附录"/>
      <w:r>
        <w:rPr>
          <w:rFonts w:hint="eastAsia"/>
        </w:rPr>
        <w:t>附录</w:t>
      </w:r>
      <w:bookmarkEnd w:id="168"/>
    </w:p>
    <w:p>
      <w:pPr>
        <w:pStyle w:val="4"/>
      </w:pPr>
      <w:bookmarkStart w:id="170" w:name="_Toc2783"/>
      <w:r>
        <w:rPr>
          <w:rFonts w:hint="eastAsia"/>
        </w:rPr>
        <w:t>参评建筑迎背风面窗平均风压差表</w:t>
      </w:r>
      <w:bookmarkEnd w:id="170"/>
    </w:p>
    <w:p>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1" w:name="建筑迎背风面风压差表_建筑名"/>
      <w:r>
        <w:rPr>
          <w:sz w:val="18"/>
          <w:szCs w:val="18"/>
        </w:rPr>
        <w:t>泉水博物馆单体链接_T8</w:t>
      </w:r>
      <w:bookmarkEnd w:id="17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pPr>
              <w:jc w:val="center"/>
              <w:rPr>
                <w:b/>
                <w:sz w:val="18"/>
                <w:szCs w:val="18"/>
                <w:lang w:val="en-US"/>
              </w:rPr>
            </w:pPr>
            <w:r>
              <w:rPr>
                <w:rFonts w:hint="eastAsia"/>
                <w:b/>
                <w:sz w:val="18"/>
                <w:szCs w:val="18"/>
                <w:lang w:val="en-US"/>
              </w:rPr>
              <w:t>区域</w:t>
            </w:r>
          </w:p>
        </w:tc>
        <w:tc>
          <w:tcPr>
            <w:tcW w:w="2410" w:type="dxa"/>
            <w:shd w:val="clear" w:color="auto" w:fill="E6E6E6"/>
            <w:vAlign w:val="center"/>
          </w:tcPr>
          <w:p>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pPr>
              <w:jc w:val="center"/>
              <w:rPr>
                <w:b/>
                <w:sz w:val="18"/>
                <w:szCs w:val="18"/>
                <w:lang w:val="en-US"/>
              </w:rPr>
            </w:pPr>
            <w:r>
              <w:rPr>
                <w:rFonts w:hint="eastAsia"/>
                <w:b/>
                <w:sz w:val="18"/>
                <w:szCs w:val="18"/>
                <w:lang w:val="en-US"/>
              </w:rPr>
              <w:t>迎背风面窗平均风压差</w:t>
            </w:r>
            <w:r>
              <w:rPr>
                <w:b/>
                <w:sz w:val="18"/>
                <w:szCs w:val="18"/>
                <w:lang w:val="en-US"/>
              </w:rPr>
              <w:t>(Pa)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rFonts w:hint="eastAsia"/>
                <w:sz w:val="18"/>
                <w:szCs w:val="18"/>
                <w:lang w:val="en-US"/>
              </w:rPr>
              <w:t>1层</w:t>
            </w:r>
          </w:p>
        </w:tc>
        <w:tc>
          <w:tcPr>
            <w:tcW w:w="2410" w:type="dxa"/>
            <w:vAlign w:val="center"/>
          </w:tcPr>
          <w:p>
            <w:pPr>
              <w:jc w:val="center"/>
              <w:rPr>
                <w:sz w:val="18"/>
                <w:szCs w:val="18"/>
                <w:lang w:val="en-US"/>
              </w:rPr>
            </w:pPr>
            <w:r>
              <w:rPr>
                <w:sz w:val="18"/>
                <w:szCs w:val="18"/>
                <w:lang w:val="en-US"/>
              </w:rPr>
              <w:t>-1.46</w:t>
            </w:r>
          </w:p>
        </w:tc>
        <w:tc>
          <w:tcPr>
            <w:tcW w:w="2278" w:type="dxa"/>
            <w:vAlign w:val="center"/>
          </w:tcPr>
          <w:p>
            <w:pPr>
              <w:jc w:val="center"/>
              <w:rPr>
                <w:sz w:val="18"/>
                <w:szCs w:val="18"/>
                <w:lang w:val="en-US"/>
              </w:rPr>
            </w:pPr>
            <w:r>
              <w:rPr>
                <w:sz w:val="18"/>
                <w:szCs w:val="18"/>
                <w:lang w:val="en-US"/>
              </w:rPr>
              <w:t>-1.65</w:t>
            </w:r>
          </w:p>
        </w:tc>
        <w:tc>
          <w:tcPr>
            <w:tcW w:w="2420" w:type="dxa"/>
            <w:vAlign w:val="center"/>
          </w:tcPr>
          <w:p>
            <w:pPr>
              <w:jc w:val="center"/>
              <w:rPr>
                <w:sz w:val="18"/>
                <w:szCs w:val="18"/>
                <w:lang w:val="en-US"/>
              </w:rPr>
            </w:pPr>
            <w:r>
              <w:rPr>
                <w:sz w:val="18"/>
                <w:szCs w:val="18"/>
                <w:lang w:val="en-US"/>
              </w:rPr>
              <w:t>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rFonts w:hint="eastAsia"/>
                <w:sz w:val="18"/>
                <w:szCs w:val="18"/>
                <w:lang w:val="en-US"/>
              </w:rPr>
              <w:t>整楼</w:t>
            </w:r>
          </w:p>
        </w:tc>
        <w:tc>
          <w:tcPr>
            <w:tcW w:w="2410" w:type="dxa"/>
            <w:vAlign w:val="center"/>
          </w:tcPr>
          <w:p>
            <w:pPr>
              <w:jc w:val="center"/>
              <w:rPr>
                <w:sz w:val="18"/>
                <w:szCs w:val="18"/>
                <w:lang w:val="en-US"/>
              </w:rPr>
            </w:pPr>
            <w:r>
              <w:rPr>
                <w:sz w:val="18"/>
                <w:szCs w:val="18"/>
                <w:lang w:val="en-US"/>
              </w:rPr>
              <w:t>-1.46</w:t>
            </w:r>
          </w:p>
        </w:tc>
        <w:tc>
          <w:tcPr>
            <w:tcW w:w="2278" w:type="dxa"/>
            <w:vAlign w:val="center"/>
          </w:tcPr>
          <w:p>
            <w:pPr>
              <w:jc w:val="center"/>
              <w:rPr>
                <w:sz w:val="18"/>
                <w:szCs w:val="18"/>
                <w:lang w:val="en-US"/>
              </w:rPr>
            </w:pPr>
            <w:r>
              <w:rPr>
                <w:sz w:val="18"/>
                <w:szCs w:val="18"/>
                <w:lang w:val="en-US"/>
              </w:rPr>
              <w:t>-1.65</w:t>
            </w:r>
          </w:p>
        </w:tc>
        <w:tc>
          <w:tcPr>
            <w:tcW w:w="2420" w:type="dxa"/>
            <w:vAlign w:val="center"/>
          </w:tcPr>
          <w:p>
            <w:pPr>
              <w:jc w:val="center"/>
              <w:rPr>
                <w:sz w:val="18"/>
                <w:szCs w:val="18"/>
                <w:lang w:val="en-US"/>
              </w:rPr>
            </w:pPr>
            <w:r>
              <w:rPr>
                <w:sz w:val="18"/>
                <w:szCs w:val="18"/>
                <w:lang w:val="en-US"/>
              </w:rPr>
              <w:t>0.19</w:t>
            </w:r>
          </w:p>
        </w:tc>
      </w:tr>
      <w:bookmarkEnd w:id="0"/>
    </w:tbl>
    <w:p>
      <w:bookmarkStart w:id="172" w:name="结论"/>
      <w:bookmarkEnd w:id="172"/>
    </w:p>
    <w:p>
      <w:pPr>
        <w:pStyle w:val="3"/>
        <w:ind w:left="420" w:firstLine="0" w:firstLineChars="0"/>
        <w:rPr>
          <w:rFonts w:ascii="微软雅黑" w:hAnsi="微软雅黑" w:eastAsia="微软雅黑"/>
          <w:lang w:val="en-US"/>
        </w:rPr>
      </w:pPr>
      <w:bookmarkStart w:id="173" w:name="迎风建筑信息参评"/>
      <w:bookmarkEnd w:id="173"/>
    </w:p>
    <w:p>
      <w:pPr>
        <w:pStyle w:val="4"/>
      </w:pPr>
      <w:bookmarkStart w:id="174" w:name="_Toc8533"/>
      <w:r>
        <w:rPr>
          <w:rFonts w:hint="eastAsia"/>
        </w:rPr>
        <w:t>不参评建筑迎背风面窗平均风压差表</w:t>
      </w:r>
      <w:bookmarkEnd w:id="174"/>
    </w:p>
    <w:p>
      <w:pPr>
        <w:pStyle w:val="3"/>
        <w:ind w:left="420" w:firstLine="0" w:firstLineChars="0"/>
        <w:rPr>
          <w:rFonts w:ascii="微软雅黑" w:hAnsi="微软雅黑" w:eastAsia="微软雅黑"/>
          <w:lang w:val="en-US"/>
        </w:rPr>
      </w:pPr>
      <w:bookmarkStart w:id="175" w:name="迎风建筑信息不参评"/>
      <w:bookmarkEnd w:id="175"/>
    </w:p>
    <w:bookmarkEnd w:id="169"/>
    <w:p>
      <w:pPr>
        <w:pStyle w:val="3"/>
        <w:ind w:firstLine="0" w:firstLineChars="0"/>
        <w:rPr>
          <w:rFonts w:ascii="微软雅黑" w:hAnsi="微软雅黑" w:eastAsia="微软雅黑"/>
          <w:lang w:val="en-US"/>
        </w:rPr>
      </w:pPr>
      <w:bookmarkStart w:id="176" w:name="_GoBack"/>
      <w:bookmarkEnd w:id="176"/>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20"/>
            <w:spacing w:line="360" w:lineRule="exact"/>
            <w:rPr>
              <w:sz w:val="20"/>
              <w:szCs w:val="21"/>
            </w:rPr>
          </w:pPr>
        </w:p>
      </w:tc>
      <w:tc>
        <w:tcPr>
          <w:tcW w:w="2841" w:type="dxa"/>
        </w:tcPr>
        <w:p>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pPr>
            <w:pStyle w:val="20"/>
            <w:spacing w:line="360" w:lineRule="exact"/>
            <w:jc w:val="right"/>
            <w:rPr>
              <w:sz w:val="20"/>
              <w:szCs w:val="21"/>
            </w:rPr>
          </w:pPr>
        </w:p>
      </w:tc>
    </w:tr>
  </w:tbl>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heme="minorEastAsia" w:hAnsiTheme="minorEastAsia" w:eastAsiaTheme="minorEastAsia"/>
        <w:szCs w:val="21"/>
      </w:rPr>
    </w:pP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wMmM0NTM4Y2VlZWJiMjc1ZTExMTk2YTg2NjRjZTkifQ=="/>
  </w:docVars>
  <w:rsids>
    <w:rsidRoot w:val="469075A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69075A2"/>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autoRedefine/>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autoRedefine/>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tmp1.dotx</Template>
  <Pages>29</Pages>
  <Words>8097</Words>
  <Characters>9205</Characters>
  <Lines>47</Lines>
  <Paragraphs>13</Paragraphs>
  <TotalTime>1</TotalTime>
  <ScaleCrop>false</ScaleCrop>
  <LinksUpToDate>false</LinksUpToDate>
  <CharactersWithSpaces>9404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2025-12-30T16:05:00Z</dcterms:created>
  <dc:creator>唔西迪西</dc:creator>
  <cp:lastModifiedBy>唔西迪西</cp:lastModifiedBy>
  <dcterms:modified xsi:type="dcterms:W3CDTF">2025-12-30T16:06:47Z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A177F4C35551431D9CA6F3B276FA879F_11</vt:lpwstr>
  </property>
</Properties>
</file>