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453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36"/>
        </w:rPr>
      </w:pPr>
      <w:bookmarkStart w:id="0" w:name="_GoBack"/>
      <w:r>
        <w:rPr>
          <w:rFonts w:hint="eastAsia" w:ascii="宋体" w:hAnsi="宋体" w:eastAsia="宋体" w:cs="宋体"/>
          <w:b/>
          <w:bCs/>
          <w:sz w:val="28"/>
          <w:szCs w:val="36"/>
        </w:rPr>
        <w:t>光污染分析报告</w:t>
      </w:r>
    </w:p>
    <w:bookmarkEnd w:id="0"/>
    <w:p w14:paraId="303C01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工程名称： 成都市第十五幼儿园幸福桥分园改造项目</w:t>
      </w:r>
    </w:p>
    <w:p w14:paraId="4B7851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工程地点： 四川省成都市</w:t>
      </w:r>
    </w:p>
    <w:p w14:paraId="1F10B8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一、 项目概况</w:t>
      </w:r>
    </w:p>
    <w:p w14:paraId="67E83E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本项目为成都市第十五幼儿园幸福桥分园改造工程，建筑层数为地上4层，建筑高度15.60m，总建筑面积约3715.28㎡。项目位于成都市，周边可能存在居民区、道路及其他公共设施。本次改造涉及外立面修缮及外门窗更换，需对改造后可能产生的光污染问题进行专项分析。</w:t>
      </w:r>
    </w:p>
    <w:p w14:paraId="3BDD29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p>
    <w:p w14:paraId="048ACB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二、 编制依据</w:t>
      </w:r>
    </w:p>
    <w:p w14:paraId="0EE0FA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《建筑环境通用规范》GB 55016-2021</w:t>
      </w:r>
    </w:p>
    <w:p w14:paraId="65E7D3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《绿色建筑评价标准》GB/T 50378-2019</w:t>
      </w:r>
    </w:p>
    <w:p w14:paraId="6B7258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《城市居住区规划设计标准》GB 50180-2018</w:t>
      </w:r>
    </w:p>
    <w:p w14:paraId="1DC1C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《玻璃幕墙光热性能》GB/T 18091-2015</w:t>
      </w:r>
    </w:p>
    <w:p w14:paraId="35448E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成都市相关城市规划管理技术规定</w:t>
      </w:r>
    </w:p>
    <w:p w14:paraId="3DA348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p>
    <w:p w14:paraId="3358B2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三、 光污染源识别</w:t>
      </w:r>
    </w:p>
    <w:p w14:paraId="414E8E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本工程改造主要涉及以下可能产生光污染的要素：</w:t>
      </w:r>
    </w:p>
    <w:p w14:paraId="7D74D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污染源类型</w:t>
      </w:r>
      <w:r>
        <w:rPr>
          <w:rFonts w:hint="eastAsia" w:ascii="宋体" w:hAnsi="宋体" w:eastAsia="宋体" w:cs="宋体"/>
          <w:b w:val="0"/>
          <w:bCs w:val="0"/>
          <w:sz w:val="24"/>
          <w:szCs w:val="32"/>
        </w:rPr>
        <w:tab/>
      </w:r>
      <w:r>
        <w:rPr>
          <w:rFonts w:hint="eastAsia" w:ascii="宋体" w:hAnsi="宋体" w:eastAsia="宋体" w:cs="宋体"/>
          <w:b w:val="0"/>
          <w:bCs w:val="0"/>
          <w:sz w:val="24"/>
          <w:szCs w:val="32"/>
        </w:rPr>
        <w:t>具体部位</w:t>
      </w:r>
      <w:r>
        <w:rPr>
          <w:rFonts w:hint="eastAsia" w:ascii="宋体" w:hAnsi="宋体" w:eastAsia="宋体" w:cs="宋体"/>
          <w:b w:val="0"/>
          <w:bCs w:val="0"/>
          <w:sz w:val="24"/>
          <w:szCs w:val="32"/>
        </w:rPr>
        <w:tab/>
      </w:r>
      <w:r>
        <w:rPr>
          <w:rFonts w:hint="eastAsia" w:ascii="宋体" w:hAnsi="宋体" w:eastAsia="宋体" w:cs="宋体"/>
          <w:b w:val="0"/>
          <w:bCs w:val="0"/>
          <w:sz w:val="24"/>
          <w:szCs w:val="32"/>
        </w:rPr>
        <w:t>材料/参数</w:t>
      </w:r>
      <w:r>
        <w:rPr>
          <w:rFonts w:hint="eastAsia" w:ascii="宋体" w:hAnsi="宋体" w:eastAsia="宋体" w:cs="宋体"/>
          <w:b w:val="0"/>
          <w:bCs w:val="0"/>
          <w:sz w:val="24"/>
          <w:szCs w:val="32"/>
        </w:rPr>
        <w:tab/>
      </w:r>
      <w:r>
        <w:rPr>
          <w:rFonts w:hint="eastAsia" w:ascii="宋体" w:hAnsi="宋体" w:eastAsia="宋体" w:cs="宋体"/>
          <w:b w:val="0"/>
          <w:bCs w:val="0"/>
          <w:sz w:val="24"/>
          <w:szCs w:val="32"/>
        </w:rPr>
        <w:t>潜在影响</w:t>
      </w:r>
    </w:p>
    <w:p w14:paraId="11516C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玻璃反射</w:t>
      </w:r>
      <w:r>
        <w:rPr>
          <w:rFonts w:hint="eastAsia" w:ascii="宋体" w:hAnsi="宋体" w:eastAsia="宋体" w:cs="宋体"/>
          <w:b w:val="0"/>
          <w:bCs w:val="0"/>
          <w:sz w:val="24"/>
          <w:szCs w:val="32"/>
        </w:rPr>
        <w:tab/>
      </w:r>
      <w:r>
        <w:rPr>
          <w:rFonts w:hint="eastAsia" w:ascii="宋体" w:hAnsi="宋体" w:eastAsia="宋体" w:cs="宋体"/>
          <w:b w:val="0"/>
          <w:bCs w:val="0"/>
          <w:sz w:val="24"/>
          <w:szCs w:val="32"/>
        </w:rPr>
        <w:t>外窗（含普通窗、凸窗等）</w:t>
      </w:r>
      <w:r>
        <w:rPr>
          <w:rFonts w:hint="eastAsia" w:ascii="宋体" w:hAnsi="宋体" w:eastAsia="宋体" w:cs="宋体"/>
          <w:b w:val="0"/>
          <w:bCs w:val="0"/>
          <w:sz w:val="24"/>
          <w:szCs w:val="32"/>
        </w:rPr>
        <w:tab/>
      </w:r>
      <w:r>
        <w:rPr>
          <w:rFonts w:hint="eastAsia" w:ascii="宋体" w:hAnsi="宋体" w:eastAsia="宋体" w:cs="宋体"/>
          <w:b w:val="0"/>
          <w:bCs w:val="0"/>
          <w:sz w:val="24"/>
          <w:szCs w:val="32"/>
        </w:rPr>
        <w:t>普通玻璃，可见光透射比0.89，反射比0.08</w:t>
      </w:r>
      <w:r>
        <w:rPr>
          <w:rFonts w:hint="eastAsia" w:ascii="宋体" w:hAnsi="宋体" w:eastAsia="宋体" w:cs="宋体"/>
          <w:b w:val="0"/>
          <w:bCs w:val="0"/>
          <w:sz w:val="24"/>
          <w:szCs w:val="32"/>
        </w:rPr>
        <w:tab/>
      </w:r>
      <w:r>
        <w:rPr>
          <w:rFonts w:hint="eastAsia" w:ascii="宋体" w:hAnsi="宋体" w:eastAsia="宋体" w:cs="宋体"/>
          <w:b w:val="0"/>
          <w:bCs w:val="0"/>
          <w:sz w:val="24"/>
          <w:szCs w:val="32"/>
        </w:rPr>
        <w:t>对周边建筑、道路产生反射眩光</w:t>
      </w:r>
    </w:p>
    <w:p w14:paraId="505A51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外墙饰面</w:t>
      </w:r>
      <w:r>
        <w:rPr>
          <w:rFonts w:hint="eastAsia" w:ascii="宋体" w:hAnsi="宋体" w:eastAsia="宋体" w:cs="宋体"/>
          <w:b w:val="0"/>
          <w:bCs w:val="0"/>
          <w:sz w:val="24"/>
          <w:szCs w:val="32"/>
        </w:rPr>
        <w:tab/>
      </w:r>
      <w:r>
        <w:rPr>
          <w:rFonts w:hint="eastAsia" w:ascii="宋体" w:hAnsi="宋体" w:eastAsia="宋体" w:cs="宋体"/>
          <w:b w:val="0"/>
          <w:bCs w:val="0"/>
          <w:sz w:val="24"/>
          <w:szCs w:val="32"/>
        </w:rPr>
        <w:t>外墙面（未明确材质）</w:t>
      </w:r>
      <w:r>
        <w:rPr>
          <w:rFonts w:hint="eastAsia" w:ascii="宋体" w:hAnsi="宋体" w:eastAsia="宋体" w:cs="宋体"/>
          <w:b w:val="0"/>
          <w:bCs w:val="0"/>
          <w:sz w:val="24"/>
          <w:szCs w:val="32"/>
        </w:rPr>
        <w:tab/>
      </w:r>
      <w:r>
        <w:rPr>
          <w:rFonts w:hint="eastAsia" w:ascii="宋体" w:hAnsi="宋体" w:eastAsia="宋体" w:cs="宋体"/>
          <w:b w:val="0"/>
          <w:bCs w:val="0"/>
          <w:sz w:val="24"/>
          <w:szCs w:val="32"/>
        </w:rPr>
        <w:t>反射比0.30（按采光分析报告取值）</w:t>
      </w:r>
      <w:r>
        <w:rPr>
          <w:rFonts w:hint="eastAsia" w:ascii="宋体" w:hAnsi="宋体" w:eastAsia="宋体" w:cs="宋体"/>
          <w:b w:val="0"/>
          <w:bCs w:val="0"/>
          <w:sz w:val="24"/>
          <w:szCs w:val="32"/>
        </w:rPr>
        <w:tab/>
      </w:r>
      <w:r>
        <w:rPr>
          <w:rFonts w:hint="eastAsia" w:ascii="宋体" w:hAnsi="宋体" w:eastAsia="宋体" w:cs="宋体"/>
          <w:b w:val="0"/>
          <w:bCs w:val="0"/>
          <w:sz w:val="24"/>
          <w:szCs w:val="32"/>
        </w:rPr>
        <w:t>漫反射，影响较小</w:t>
      </w:r>
    </w:p>
    <w:p w14:paraId="4BE6D8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屋顶构件</w:t>
      </w:r>
      <w:r>
        <w:rPr>
          <w:rFonts w:hint="eastAsia" w:ascii="宋体" w:hAnsi="宋体" w:eastAsia="宋体" w:cs="宋体"/>
          <w:b w:val="0"/>
          <w:bCs w:val="0"/>
          <w:sz w:val="24"/>
          <w:szCs w:val="32"/>
        </w:rPr>
        <w:tab/>
      </w:r>
      <w:r>
        <w:rPr>
          <w:rFonts w:hint="eastAsia" w:ascii="宋体" w:hAnsi="宋体" w:eastAsia="宋体" w:cs="宋体"/>
          <w:b w:val="0"/>
          <w:bCs w:val="0"/>
          <w:sz w:val="24"/>
          <w:szCs w:val="32"/>
        </w:rPr>
        <w:t>女儿墙、装饰构件等</w:t>
      </w:r>
      <w:r>
        <w:rPr>
          <w:rFonts w:hint="eastAsia" w:ascii="宋体" w:hAnsi="宋体" w:eastAsia="宋体" w:cs="宋体"/>
          <w:b w:val="0"/>
          <w:bCs w:val="0"/>
          <w:sz w:val="24"/>
          <w:szCs w:val="32"/>
        </w:rPr>
        <w:tab/>
      </w:r>
      <w:r>
        <w:rPr>
          <w:rFonts w:hint="eastAsia" w:ascii="宋体" w:hAnsi="宋体" w:eastAsia="宋体" w:cs="宋体"/>
          <w:b w:val="0"/>
          <w:bCs w:val="0"/>
          <w:sz w:val="24"/>
          <w:szCs w:val="32"/>
        </w:rPr>
        <w:t>同外墙材质</w:t>
      </w:r>
      <w:r>
        <w:rPr>
          <w:rFonts w:hint="eastAsia" w:ascii="宋体" w:hAnsi="宋体" w:eastAsia="宋体" w:cs="宋体"/>
          <w:b w:val="0"/>
          <w:bCs w:val="0"/>
          <w:sz w:val="24"/>
          <w:szCs w:val="32"/>
        </w:rPr>
        <w:tab/>
      </w:r>
      <w:r>
        <w:rPr>
          <w:rFonts w:hint="eastAsia" w:ascii="宋体" w:hAnsi="宋体" w:eastAsia="宋体" w:cs="宋体"/>
          <w:b w:val="0"/>
          <w:bCs w:val="0"/>
          <w:sz w:val="24"/>
          <w:szCs w:val="32"/>
        </w:rPr>
        <w:t>对高层建筑可能产生反射</w:t>
      </w:r>
    </w:p>
    <w:p w14:paraId="562B58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p>
    <w:p w14:paraId="1EC433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四、 光污染影响评估</w:t>
      </w:r>
    </w:p>
    <w:p w14:paraId="16CDAC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4.1 玻璃幕墙（外窗）光反射分析</w:t>
      </w:r>
    </w:p>
    <w:p w14:paraId="398DF0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根据《建筑采光分析报告书》，本工程外窗采用普通单层铝窗，玻璃类型为普通玻璃，其可见光反射比为 0.08（即8%）。依据《玻璃幕墙光热性能》GB/T 18091-2015 第4.2条要求：“玻璃幕墙的可见光反射比不应大于0.30”。本项目玻璃反射比 0.08 远低于标准限值，对周边环境产生反射眩光的风险较低。</w:t>
      </w:r>
    </w:p>
    <w:p w14:paraId="16F86F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4.2 外墙饰面反射分析</w:t>
      </w:r>
    </w:p>
    <w:p w14:paraId="56F988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本工程外墙饰面材料反射比按0.30取值（参考《建筑采光设计标准》附录D），属常规浅色墙面。此类材料以漫反射为主，不形成集中反射光线，不会对周边道路或住宅造成眩光干扰。</w:t>
      </w:r>
    </w:p>
    <w:p w14:paraId="29F78A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4.3 敏感目标影响评估</w:t>
      </w:r>
    </w:p>
    <w:p w14:paraId="198E8E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本项目为幼儿园建筑，周边敏感目标主要包括：</w:t>
      </w:r>
    </w:p>
    <w:p w14:paraId="20A603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周边住宅：普通玻璃反射比低，反射光线强度弱，不会对住宅窗户产生持续眩光。</w:t>
      </w:r>
    </w:p>
    <w:p w14:paraId="5A9BFA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城市道路：外窗不处于道路正对方向，且玻璃反射比低，不影响驾驶员视线安全。</w:t>
      </w:r>
    </w:p>
    <w:p w14:paraId="78B314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幼儿园内部活动场地：外窗玻璃反射比低，不产生集中反射光线，不影响幼儿户外活动。</w:t>
      </w:r>
    </w:p>
    <w:p w14:paraId="5843BD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p>
    <w:p w14:paraId="6AD4C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rPr>
      </w:pPr>
      <w:r>
        <w:rPr>
          <w:rFonts w:hint="eastAsia" w:ascii="宋体" w:hAnsi="宋体" w:eastAsia="宋体" w:cs="宋体"/>
          <w:b/>
          <w:bCs/>
          <w:sz w:val="24"/>
          <w:szCs w:val="32"/>
        </w:rPr>
        <w:t>五、 光污染防治措施</w:t>
      </w:r>
    </w:p>
    <w:p w14:paraId="0ACC59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为确保改造后建筑对周边环境无不利光污染影响，采取以下措施：</w:t>
      </w:r>
    </w:p>
    <w:p w14:paraId="32F12A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严格控制玻璃反射比：本工程选用的普通玻璃可见光反射比为0.08，符合规范要求。在材料采购及进场验收时，应查验产品检测报告，确保玻璃反射比不高于设计值。</w:t>
      </w:r>
    </w:p>
    <w:p w14:paraId="0F334F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优化外窗布置：本工程外窗尺寸及位置已充分考虑周边环境，避免大面玻璃正对敏感建筑。对于大尺寸窗型（如C4530、C4930等），因窗面较大，建议在室内侧设置可调式遮阳设施，既改善室内光环境，又可进一步降低向外反射的光线强度。</w:t>
      </w:r>
    </w:p>
    <w:p w14:paraId="45F59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外墙饰面选用：外墙饰面材料宜选用亚光型、低光泽度材料，避免采用高光面层，减少漫反射中可能产生的定向反射成分。</w:t>
      </w:r>
    </w:p>
    <w:p w14:paraId="311037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施工过程管理：改造施工期间，外窗安装前应对玻璃进行表面检查，确保无划伤、无污染。安装后及时清洁，避免灰尘附着降低透射性能或产生不规则反射。</w:t>
      </w:r>
    </w:p>
    <w:p w14:paraId="7BC16D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p>
    <w:p w14:paraId="30A61D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32"/>
        </w:rPr>
      </w:pPr>
      <w:r>
        <w:rPr>
          <w:rFonts w:hint="eastAsia" w:ascii="宋体" w:hAnsi="宋体" w:eastAsia="宋体" w:cs="宋体"/>
          <w:b/>
          <w:bCs/>
          <w:sz w:val="24"/>
          <w:szCs w:val="32"/>
        </w:rPr>
        <w:t>六、 结论</w:t>
      </w:r>
    </w:p>
    <w:p w14:paraId="5AEFB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经分析评估，成都市第十五幼儿园幸福桥分园改造项目在光污染控制方面符合国家现行标准要求：</w:t>
      </w:r>
    </w:p>
    <w:p w14:paraId="55FFDA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外窗玻璃可见光反射比为0.08，远低于《玻璃幕墙光热性能》GB/T 18091 中0.30的限值要求，对周边环境不产生有害反射眩光。</w:t>
      </w:r>
    </w:p>
    <w:p w14:paraId="7261A8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外墙饰面材料反射比适中，以漫反射为主，不构成光污染源。</w:t>
      </w:r>
    </w:p>
    <w:p w14:paraId="2B220D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项目未设置大面积玻璃幕墙，无集中反射光源，对周边住宅、道路及幼儿园内部活动场地均不产生光干扰影响。</w:t>
      </w:r>
    </w:p>
    <w:p w14:paraId="13271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32"/>
        </w:rPr>
      </w:pPr>
      <w:r>
        <w:rPr>
          <w:rFonts w:hint="eastAsia" w:ascii="宋体" w:hAnsi="宋体" w:eastAsia="宋体" w:cs="宋体"/>
          <w:b w:val="0"/>
          <w:bCs w:val="0"/>
          <w:sz w:val="24"/>
          <w:szCs w:val="32"/>
        </w:rPr>
        <w:t>综上，本工程改造后不存在光污染问题，满足《建筑环境通用规范》GB 55016-2021及相关地方标准要求。</w:t>
      </w:r>
    </w:p>
    <w:p w14:paraId="5FB2B89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32"/>
        </w:rPr>
      </w:pPr>
    </w:p>
    <w:p w14:paraId="477D3AE1">
      <w:pPr>
        <w:rPr>
          <w:rFonts w:hint="eastAsia"/>
          <w:b/>
          <w:bCs/>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A23F4"/>
    <w:rsid w:val="11E86280"/>
    <w:rsid w:val="380D2B03"/>
    <w:rsid w:val="73CA2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248</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2026-03-26T03:16:00Z</dcterms:created>
  <dc:creator>夕雾</dc:creator>
  <cp:lastModifiedBy>夕雾</cp:lastModifiedBy>
  <dcterms:modified xsi:type="dcterms:W3CDTF">2026-03-26T07:26:39Z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C5BAAF4FAE064F079EC4E25E820196A7_13</vt:lpwstr>
  </property>
  <property fmtid="{D5CDD505-2E9C-101B-9397-08002B2CF9AE}" pid="4" name="KSOTemplateDocerSaveRecord">
    <vt:lpwstr>eyJoZGlkIjoiMTBmYTE4NDE3MTIyYTc2N2M3MjczZWM1YmFmZDNkN2IiLCJ1c2VySWQiOiI4MjQzOTI4NzgifQ==</vt:lpwstr>
  </property>
</Properties>
</file>