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泉水相生——绿色建筑博物馆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项目名称：泉水相生——绿色建筑博物馆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全寿命期单位建筑面积碳排放强为50.42kgCO2/（m2·a）减碳率5%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