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BKA80005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卧室分户墙和卧室分户楼板两侧房间之间的空气声隔声性能（计权标准化声压级差与交通噪声频谱修正量之和DnT,w+Ctr）≥47dB，卧室分户楼板的撞击声隔声性能（计权标准化撞击声压级L'nT,w）≤60dB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总得分：Q=（Q0+Q1+Q2+Q3+Q4+Q5+QA）/10=75.7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27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31139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