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D65D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b/>
          <w:color w:val="auto"/>
          <w:sz w:val="52"/>
        </w:rPr>
        <w:t>泉乡栖境清洗消毒管理制度</w:t>
      </w:r>
    </w:p>
    <w:p w14:paraId="2EF30CAD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为保障泉乡栖境项目内康养、居住、休闲等区域的卫生安全，为居者及访客提供健康、洁净的环境，结合项目温泉康养、生态居住的核心定位与运营需求，依据国家相关卫生标准，特制定本清洗消毒管理制度，适用于项目内所有公共区域、康养设施、餐饮配套、居住配套及相关器具的清洗消毒工作。</w:t>
      </w:r>
    </w:p>
    <w:p w14:paraId="5D2C3F6B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color w:val="auto"/>
        </w:rPr>
      </w:pPr>
      <w:bookmarkStart w:id="0" w:name="heading_0"/>
      <w:r>
        <w:rPr>
          <w:rFonts w:hint="eastAsia" w:ascii="黑体" w:hAnsi="黑体" w:eastAsia="黑体" w:cs="黑体"/>
          <w:b/>
          <w:color w:val="auto"/>
          <w:sz w:val="32"/>
        </w:rPr>
        <w:t>一、通用清洗消毒要求</w:t>
      </w:r>
      <w:bookmarkEnd w:id="0"/>
    </w:p>
    <w:p w14:paraId="6293D086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项目内所有直接接触人员、康养用水、食品、生活用水的器具、设施，使用前必须完成洗净、消毒操作，符合国家相关卫生安全标准，消毒后贮存于专用保洁区域备用；未经消毒的器具、设施严禁投入使用，一次性使用的康养、餐饮、卫生器具禁止重复使用。</w:t>
      </w:r>
    </w:p>
    <w:p w14:paraId="1623A195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购置、使用集中消毒企业供应的餐饮具、康养器具（如一次性泡池配套用品、卫生洁具等），需向供货商索取工商营业执照、正规票据及相关检验合格报告，严禁购置、使用无资质、无检验合格报告的集中消毒产品。</w:t>
      </w:r>
    </w:p>
    <w:p w14:paraId="52CA7958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各类清洗消毒操作需配备专用水池、容器、工具，温泉康养器具清洗池、餐饮具清洗池、蔬菜肉类清洗池、公共卫生器具清洗池等严禁混用，各专用清洗区域设置明显标识区分。</w:t>
      </w:r>
    </w:p>
    <w:p w14:paraId="22226E73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洗涤、消毒所使用的洗涤剂、消毒剂，必须符合国家食品用、公共卫生用洗涤剂和消毒剂的安全标准及要求，严禁使用三无产品、过期产品；消毒剂的配比、使用方法严格遵循产品说明及国家规范。</w:t>
      </w:r>
    </w:p>
    <w:p w14:paraId="715E573E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消毒后的各类器具、设施，需分类贮存在专用保洁柜/保洁区域内，已消毒与未消毒的物品严格分开存放，并在贮存区域张贴明显的“已消毒”“未消毒”标识；保洁柜/保洁区域需定期清洗、擦拭，保持洁净、干燥、无异味。</w:t>
      </w:r>
    </w:p>
    <w:p w14:paraId="05234FB3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color w:val="auto"/>
        </w:rPr>
      </w:pPr>
      <w:bookmarkStart w:id="1" w:name="heading_1"/>
      <w:r>
        <w:rPr>
          <w:rFonts w:hint="eastAsia" w:ascii="黑体" w:hAnsi="黑体" w:eastAsia="黑体" w:cs="黑体"/>
          <w:b/>
          <w:color w:val="auto"/>
          <w:sz w:val="32"/>
        </w:rPr>
        <w:t>二、各环节操作规范</w:t>
      </w:r>
      <w:bookmarkEnd w:id="1"/>
    </w:p>
    <w:p w14:paraId="0AE4D245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color w:val="auto"/>
        </w:rPr>
      </w:pPr>
      <w:bookmarkStart w:id="2" w:name="heading_2"/>
      <w:r>
        <w:rPr>
          <w:rFonts w:hint="eastAsia" w:ascii="黑体" w:hAnsi="黑体" w:eastAsia="黑体" w:cs="黑体"/>
          <w:b/>
          <w:color w:val="auto"/>
          <w:sz w:val="30"/>
        </w:rPr>
        <w:t>（一）器具清洗消毒环节</w:t>
      </w:r>
      <w:bookmarkEnd w:id="2"/>
    </w:p>
    <w:p w14:paraId="36613F93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洗刷餐饮具、康养器具（如泡池勺、浴具、按摩器具）、公共卫生用具等，需严格执行</w:t>
      </w:r>
      <w:r>
        <w:rPr>
          <w:rFonts w:hint="eastAsia" w:ascii="黑体" w:hAnsi="黑体" w:eastAsia="黑体" w:cs="黑体"/>
          <w:b/>
          <w:color w:val="auto"/>
          <w:sz w:val="22"/>
        </w:rPr>
        <w:t>洗、刷、冲、消毒</w:t>
      </w:r>
      <w:r>
        <w:rPr>
          <w:rFonts w:hint="eastAsia" w:ascii="黑体" w:hAnsi="黑体" w:eastAsia="黑体" w:cs="黑体"/>
          <w:color w:val="auto"/>
          <w:sz w:val="22"/>
        </w:rPr>
        <w:t>四个核心环节，确保无污渍、无残留、无细菌滋生。</w:t>
      </w:r>
    </w:p>
    <w:p w14:paraId="3870B027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color w:val="auto"/>
        </w:rPr>
      </w:pPr>
      <w:bookmarkStart w:id="3" w:name="heading_3"/>
      <w:r>
        <w:rPr>
          <w:rFonts w:hint="eastAsia" w:ascii="黑体" w:hAnsi="黑体" w:eastAsia="黑体" w:cs="黑体"/>
          <w:b/>
          <w:color w:val="auto"/>
          <w:sz w:val="30"/>
        </w:rPr>
        <w:t>（二）器具消毒验收标准</w:t>
      </w:r>
      <w:bookmarkEnd w:id="3"/>
    </w:p>
    <w:p w14:paraId="1A8D902C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经过清洗消毒后的各类器具，感官需保持光洁干净，无破损、无污渍，不得粘有肉眼可见杂物；项目专人定期对消毒后的器具进行抽查，检测结果需符合国家餐具、公共卫生器具消毒卫生标准，抽查记录留存归档。</w:t>
      </w:r>
    </w:p>
    <w:p w14:paraId="1B6BEBAA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color w:val="auto"/>
        </w:rPr>
      </w:pPr>
      <w:bookmarkStart w:id="4" w:name="heading_4"/>
      <w:r>
        <w:rPr>
          <w:rFonts w:hint="eastAsia" w:ascii="黑体" w:hAnsi="黑体" w:eastAsia="黑体" w:cs="黑体"/>
          <w:b/>
          <w:color w:val="auto"/>
          <w:sz w:val="30"/>
        </w:rPr>
        <w:t>（三）厨房及餐饮配套清洗消毒</w:t>
      </w:r>
      <w:bookmarkEnd w:id="4"/>
    </w:p>
    <w:p w14:paraId="5C765A7E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厨房使用的食品容器、刀具、砧板、锅具等厨具，做到</w:t>
      </w:r>
      <w:r>
        <w:rPr>
          <w:rFonts w:hint="eastAsia" w:ascii="黑体" w:hAnsi="黑体" w:eastAsia="黑体" w:cs="黑体"/>
          <w:b/>
          <w:color w:val="auto"/>
          <w:sz w:val="22"/>
        </w:rPr>
        <w:t>使用一次清洗消毒一次</w:t>
      </w:r>
      <w:r>
        <w:rPr>
          <w:rFonts w:hint="eastAsia" w:ascii="黑体" w:hAnsi="黑体" w:eastAsia="黑体" w:cs="黑体"/>
          <w:color w:val="auto"/>
          <w:sz w:val="22"/>
        </w:rPr>
        <w:t>，不同食材加工用厨具分开清洗、分开存放，避免交叉污染。</w:t>
      </w:r>
    </w:p>
    <w:p w14:paraId="4CBF82CB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采购的肉类、蔬菜、瓜果等食材，需彻底清洗，蔬菜类至少清洗三次，去除泥沙、杂物、农药残留；食材加工严格遵循生熟分开原则，食物必须煮熟煮透，符合食品安全标准。</w:t>
      </w:r>
    </w:p>
    <w:p w14:paraId="0AD3C6FF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color w:val="auto"/>
        </w:rPr>
      </w:pPr>
      <w:bookmarkStart w:id="5" w:name="heading_5"/>
      <w:r>
        <w:rPr>
          <w:rFonts w:hint="eastAsia" w:ascii="黑体" w:hAnsi="黑体" w:eastAsia="黑体" w:cs="黑体"/>
          <w:b/>
          <w:color w:val="auto"/>
          <w:sz w:val="30"/>
        </w:rPr>
        <w:t>（四）温泉康养设施清洗消毒</w:t>
      </w:r>
      <w:bookmarkEnd w:id="5"/>
    </w:p>
    <w:p w14:paraId="267979D8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公共温泉泡池、特色疗愈池、SPA设施等，做到</w:t>
      </w:r>
      <w:r>
        <w:rPr>
          <w:rFonts w:hint="eastAsia" w:ascii="黑体" w:hAnsi="黑体" w:eastAsia="黑体" w:cs="黑体"/>
          <w:b/>
          <w:color w:val="auto"/>
          <w:sz w:val="22"/>
        </w:rPr>
        <w:t>每日一消毒、每次换水必消毒</w:t>
      </w:r>
      <w:r>
        <w:rPr>
          <w:rFonts w:hint="eastAsia" w:ascii="黑体" w:hAnsi="黑体" w:eastAsia="黑体" w:cs="黑体"/>
          <w:color w:val="auto"/>
          <w:sz w:val="22"/>
        </w:rPr>
        <w:t>，康养用水定期检测，水质符合温泉康养卫生标准；私人/半私人泡池在每次使用前后，由专人完成清洗消毒工作，做好记录。</w:t>
      </w:r>
    </w:p>
    <w:p w14:paraId="5E9A1768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温泉区配套的浴袍、拖鞋、毛巾等用品，做到</w:t>
      </w:r>
      <w:r>
        <w:rPr>
          <w:rFonts w:hint="eastAsia" w:ascii="黑体" w:hAnsi="黑体" w:eastAsia="黑体" w:cs="黑体"/>
          <w:b/>
          <w:color w:val="auto"/>
          <w:sz w:val="22"/>
        </w:rPr>
        <w:t>一人一换一消毒</w:t>
      </w:r>
      <w:r>
        <w:rPr>
          <w:rFonts w:hint="eastAsia" w:ascii="黑体" w:hAnsi="黑体" w:eastAsia="黑体" w:cs="黑体"/>
          <w:color w:val="auto"/>
          <w:sz w:val="22"/>
        </w:rPr>
        <w:t>，清洗消毒后密封存放于保洁区域，发放时确保干燥、洁净。</w:t>
      </w:r>
    </w:p>
    <w:p w14:paraId="5B63D698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color w:val="auto"/>
        </w:rPr>
      </w:pPr>
      <w:bookmarkStart w:id="6" w:name="heading_6"/>
      <w:r>
        <w:rPr>
          <w:rFonts w:hint="eastAsia" w:ascii="黑体" w:hAnsi="黑体" w:eastAsia="黑体" w:cs="黑体"/>
          <w:b/>
          <w:color w:val="auto"/>
          <w:sz w:val="30"/>
        </w:rPr>
        <w:t>（五）公共区域及居住配套清洗消毒</w:t>
      </w:r>
      <w:bookmarkEnd w:id="6"/>
    </w:p>
    <w:p w14:paraId="195B6B31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项目内公共走廊、康养休闲连廊、观景台、禅休区等公共区域的扶手、座椅、桌面等高频接触部位，做到</w:t>
      </w:r>
      <w:r>
        <w:rPr>
          <w:rFonts w:hint="eastAsia" w:ascii="黑体" w:hAnsi="黑体" w:eastAsia="黑体" w:cs="黑体"/>
          <w:b/>
          <w:color w:val="auto"/>
          <w:sz w:val="22"/>
        </w:rPr>
        <w:t>每日至少两次清洗消毒</w:t>
      </w:r>
      <w:r>
        <w:rPr>
          <w:rFonts w:hint="eastAsia" w:ascii="黑体" w:hAnsi="黑体" w:eastAsia="黑体" w:cs="黑体"/>
          <w:color w:val="auto"/>
          <w:sz w:val="22"/>
        </w:rPr>
        <w:t>，客流高峰期增加消毒频次。</w:t>
      </w:r>
    </w:p>
    <w:p w14:paraId="4A7ED7A6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居住单元内的餐具、卫生洁具、家具表面等，在新住户入住前、老住户退房后完成全面清洗消毒，日常居住期间提供消毒用品，保障居者自主消毒需求。</w:t>
      </w:r>
    </w:p>
    <w:p w14:paraId="4209C5E1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color w:val="auto"/>
        </w:rPr>
      </w:pPr>
      <w:bookmarkStart w:id="7" w:name="heading_7"/>
      <w:r>
        <w:rPr>
          <w:rFonts w:hint="eastAsia" w:ascii="黑体" w:hAnsi="黑体" w:eastAsia="黑体" w:cs="黑体"/>
          <w:b/>
          <w:color w:val="auto"/>
          <w:sz w:val="32"/>
        </w:rPr>
        <w:t>三、收尾及存放管理</w:t>
      </w:r>
      <w:bookmarkEnd w:id="7"/>
    </w:p>
    <w:p w14:paraId="063D5578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每日工作结束后，各区域工作人员需将使用后的工用具、操作台面、清洗池等彻底清洗整理干净，清除污渍、积水，工用具按类别归位存放于专用区域，做到摆放整齐、有序。</w:t>
      </w:r>
    </w:p>
    <w:p w14:paraId="6467D194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清洗消毒后的抹布、清洁工具，需单独清洗消毒，晾干后存放，避免二次污染；</w:t>
      </w:r>
      <w:bookmarkStart w:id="9" w:name="_GoBack"/>
      <w:bookmarkEnd w:id="9"/>
      <w:r>
        <w:rPr>
          <w:rFonts w:hint="eastAsia" w:ascii="黑体" w:hAnsi="黑体" w:eastAsia="黑体" w:cs="黑体"/>
          <w:color w:val="auto"/>
          <w:sz w:val="22"/>
        </w:rPr>
        <w:t>废弃的一次性清洗消毒用品、杂物，按项目垃圾分类要求妥善处理。</w:t>
      </w:r>
    </w:p>
    <w:p w14:paraId="2B26530B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color w:val="auto"/>
        </w:rPr>
      </w:pPr>
      <w:bookmarkStart w:id="8" w:name="heading_8"/>
      <w:r>
        <w:rPr>
          <w:rFonts w:hint="eastAsia" w:ascii="黑体" w:hAnsi="黑体" w:eastAsia="黑体" w:cs="黑体"/>
          <w:b/>
          <w:color w:val="auto"/>
          <w:sz w:val="32"/>
        </w:rPr>
        <w:t>四、责任与监督</w:t>
      </w:r>
      <w:bookmarkEnd w:id="8"/>
    </w:p>
    <w:p w14:paraId="5FC2C619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项目指定专人担任清洗消毒管理员，负责统筹各区域清洗消毒工作，监督操作流程执行情况，定期组织工作人员开展清洗消毒规范培训。</w:t>
      </w:r>
    </w:p>
    <w:p w14:paraId="2D4B8ACA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各区域工作人员为清洗消毒工作第一责任人，严格按照本制度执行操作，做好清洗消毒记录；管理员定期对各区域工作进行检查，对未按规范操作的情况及时整改，整改结果留存归档。</w:t>
      </w:r>
    </w:p>
    <w:p w14:paraId="655313A0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22"/>
        </w:rPr>
        <w:t>本制度自发布之日起执行，根据项目运营需求及国家卫生标准更新情况，适时修订完善。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1098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62E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rFonts w:hint="default"/>
        <w:color w:val="auto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rFonts w:hint="default"/>
        <w:color w:val="auto"/>
      </w:rPr>
    </w:lvl>
  </w:abstractNum>
  <w:abstractNum w:abstractNumId="3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5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7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8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9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rFonts w:hint="default"/>
        <w:color w:val="auto"/>
      </w:rPr>
    </w:lvl>
  </w:abstractNum>
  <w:abstractNum w:abstractNumId="10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11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12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1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rFonts w:hint="default"/>
        <w:color w:val="auto"/>
      </w:rPr>
    </w:lvl>
  </w:abstractNum>
  <w:abstractNum w:abstractNumId="14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15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375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1663</Words>
  <Characters>1676</Characters>
  <TotalTime>2</TotalTime>
  <ScaleCrop>false</ScaleCrop>
  <LinksUpToDate>false</LinksUpToDate>
  <CharactersWithSpaces>1678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2026-03-09T11:27:00Z</dcterms:created>
  <dc:creator>Apache POI</dc:creator>
  <cp:lastModifiedBy>。</cp:lastModifiedBy>
  <dcterms:modified xsi:type="dcterms:W3CDTF">2026-03-09T11:30:08Z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eyJoZGlkIjoiMDMzNmJlNmRiYTJiZjdhYmVkYzg3MGQ3ZjJjYWU4ODMiLCJ1c2VySWQiOiI4MDYyNzIzOTcifQ==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9248EC91102E4D258F9E04BDDF1F9F70_12</vt:lpwstr>
  </property>
</Properties>
</file>