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502C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jc w:val="center"/>
        <w:rPr>
          <w:rFonts w:hint="default" w:ascii="Segoe UI" w:hAnsi="Segoe UI" w:eastAsia="宋体" w:cs="Segoe UI"/>
          <w:b/>
          <w:bCs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b/>
          <w:bCs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结构规则性的说明</w:t>
      </w:r>
      <w:bookmarkStart w:id="0" w:name="_GoBack"/>
      <w:bookmarkEnd w:id="0"/>
    </w:p>
    <w:p w14:paraId="13DC32D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一、编制依据</w:t>
      </w:r>
    </w:p>
    <w:p w14:paraId="603C24D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《建筑抗震设计规范》（GB 50011-2010，2016年版）第3.4.1条、第3.4.3条及附录A</w:t>
      </w:r>
    </w:p>
    <w:p w14:paraId="7A4AAA6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《高层建筑混凝土结构技术规程》（JGJ 3-2010）第3.4.6条</w:t>
      </w:r>
    </w:p>
    <w:p w14:paraId="3B64ADA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50378-2019，2024年版）第2.2.3条</w:t>
      </w:r>
    </w:p>
    <w:p w14:paraId="4D5DEA1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二、项目基本信息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5126"/>
      </w:tblGrid>
      <w:tr w14:paraId="7C64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CCF1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C940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628C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30F2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83A1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42AC7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6847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069B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0E4F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81BD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0A9E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73EA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5C80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72B8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2026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0402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5481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混凝土框架结构</w:t>
            </w:r>
          </w:p>
        </w:tc>
      </w:tr>
      <w:tr w14:paraId="5425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C034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抗震设防烈度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36E2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7度（0.10g）</w:t>
            </w:r>
          </w:p>
        </w:tc>
      </w:tr>
      <w:tr w14:paraId="4B69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D05B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设计地震分组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051D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第二组</w:t>
            </w:r>
          </w:p>
        </w:tc>
      </w:tr>
      <w:tr w14:paraId="33E8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FEBA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场地类别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1EA3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Ⅱ类</w:t>
            </w:r>
          </w:p>
        </w:tc>
      </w:tr>
    </w:tbl>
    <w:p w14:paraId="6EA49E4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三、结构规则性判定依据</w:t>
      </w:r>
    </w:p>
    <w:p w14:paraId="254094C7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根据《建筑抗震设计规范》（GB 50011-2010）第3.4.1条，建筑结构规则性分为以下等级：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0"/>
        <w:gridCol w:w="5780"/>
      </w:tblGrid>
      <w:tr w14:paraId="6861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740" w:type="dxa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405C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5780" w:type="dxa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C3C5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定义</w:t>
            </w:r>
          </w:p>
        </w:tc>
      </w:tr>
      <w:tr w14:paraId="6B16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9C24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规则</w:t>
            </w:r>
          </w:p>
        </w:tc>
        <w:tc>
          <w:tcPr>
            <w:tcW w:w="5780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13C3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结构体型简单，各项不规则指标均在规范限值以内</w:t>
            </w:r>
          </w:p>
        </w:tc>
      </w:tr>
      <w:tr w14:paraId="58B1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287D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不规则</w:t>
            </w:r>
          </w:p>
        </w:tc>
        <w:tc>
          <w:tcPr>
            <w:tcW w:w="5780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9E4B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结构体型较复杂，某一项不规则指标超过规范限值</w:t>
            </w:r>
          </w:p>
        </w:tc>
      </w:tr>
      <w:tr w14:paraId="26E5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933D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严重不规则</w:t>
            </w:r>
          </w:p>
        </w:tc>
        <w:tc>
          <w:tcPr>
            <w:tcW w:w="5780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F4E4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结构体型复杂，多项不规则指标超过规定限值或某一项大大超过规定限值，存在严重抗震薄弱环节，可能导致地震破坏后果严重</w:t>
            </w:r>
          </w:p>
        </w:tc>
      </w:tr>
    </w:tbl>
    <w:p w14:paraId="16F1658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四、结构规则性判定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4"/>
        <w:gridCol w:w="2775"/>
        <w:gridCol w:w="2615"/>
        <w:gridCol w:w="1236"/>
        <w:gridCol w:w="576"/>
      </w:tblGrid>
      <w:tr w14:paraId="4F2D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915B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不规则类型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A7E3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判定标准（超限指标）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0CA0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本项目情况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83D0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实测值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C4C9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判定</w:t>
            </w:r>
          </w:p>
        </w:tc>
      </w:tr>
      <w:tr w14:paraId="4FEE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2E49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扭转不规则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C386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扭转位移比＞1.5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AC83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结构平面规整，刚度中心与质量中心基本重合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BACD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扭转位移比≤1.2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A46A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规则</w:t>
            </w:r>
          </w:p>
        </w:tc>
      </w:tr>
      <w:tr w14:paraId="32D3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3294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凹凸不规则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A159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平面凹凸尺寸大于相应边长30%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DE0C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建筑平面呈矩形，无突出翼墙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626D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凹凸尺寸≤10%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F6CC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规则</w:t>
            </w:r>
          </w:p>
        </w:tc>
      </w:tr>
      <w:tr w14:paraId="26D3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B1AB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楼板局部不连续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9331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有效楼板宽度小于典型宽度50%，或开洞率＞30%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55E4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楼板连续完整，仅中庭区域开洞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92D7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开洞率≤22%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1CBE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规则</w:t>
            </w:r>
          </w:p>
        </w:tc>
      </w:tr>
      <w:tr w14:paraId="7F33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46EF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竖向刚度突变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5B67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相邻层侧向刚度变化＞50%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7F6F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各层层高均匀（4.4～5.1m），结构布置一致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CCF6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刚度变化≤15%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6543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规则</w:t>
            </w:r>
          </w:p>
        </w:tc>
      </w:tr>
      <w:tr w14:paraId="6B91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2027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竖向抗侧力构件不连续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FF00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竖向构件中断或转换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A72B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框架柱自下而上连续贯通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26F9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无中断或转换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125A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规则</w:t>
            </w:r>
          </w:p>
        </w:tc>
      </w:tr>
      <w:tr w14:paraId="2270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4280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楼层承载力突变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00AD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相邻层受剪承载力变化＞20%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9166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各层梁柱截面及配筋均匀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E7BC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承载力变化≤10%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091A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规则</w:t>
            </w:r>
          </w:p>
        </w:tc>
      </w:tr>
      <w:tr w14:paraId="4DCB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A937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体型复杂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6163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多塔楼、连体、错层、悬挑过大等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A59F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单一塔楼，无连体错层，悬挑≤1.5m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7829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无不规则体型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796D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规则</w:t>
            </w:r>
          </w:p>
        </w:tc>
      </w:tr>
    </w:tbl>
    <w:p w14:paraId="6BE649B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五、结构平面与竖向布置</w:t>
      </w:r>
    </w:p>
    <w:p w14:paraId="0DD44A3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（一）平面布置</w:t>
      </w:r>
    </w:p>
    <w:p w14:paraId="767418B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建筑平面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：三大功能单体通过连廊连接，各单体平面均为矩形，尺寸规整，无明显凹凸。</w:t>
      </w:r>
    </w:p>
    <w:p w14:paraId="52E626C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柱网布置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：主要柱网尺寸8.4m×8.4m，结构布置对称，刚度中心与质量中心基本重合。</w:t>
      </w:r>
    </w:p>
    <w:p w14:paraId="27CEF3A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楼板开洞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：绿色中庭区域楼板开洞，开洞面积约占楼层面积22%，小于30%限值，且开洞周边设置边梁加强，楼板有效宽度满足规范要求。</w:t>
      </w:r>
    </w:p>
    <w:p w14:paraId="6B7DFA7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（二）竖向布置</w:t>
      </w:r>
    </w:p>
    <w:p w14:paraId="7FCD5D8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层高分布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：首层5.0m，二层5.1m，三层4.4m，四层4.4m，五层4.4m，层高均匀变化，无突变。</w:t>
      </w:r>
    </w:p>
    <w:p w14:paraId="745D077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侧向刚度比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：相邻楼层侧向刚度比≥0.85，满足规范≥0.7的要求。</w:t>
      </w:r>
    </w:p>
    <w:p w14:paraId="0F83D10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竖向构件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：框架柱截面自下而上递减均匀，无竖向构件中断。</w:t>
      </w:r>
    </w:p>
    <w:p w14:paraId="7148289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六、判定结论</w:t>
      </w:r>
    </w:p>
    <w:p w14:paraId="2404C12E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经逐项核查，本项目建筑平面规整、立面简洁、结构竖向刚度均匀，各项不规则指标均未超过《建筑抗震设计规范》GB 50011-2010规定的限值。</w:t>
      </w:r>
    </w:p>
    <w:p w14:paraId="10185154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结论：本项目建筑结构规则，未采用建筑形体和布置严重不规则的建筑结构。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1D97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2026-03-26T16:19:44Z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