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74F7A6">
      <w:pPr>
        <w:pStyle w:val="2"/>
        <w:keepNext w:val="0"/>
        <w:keepLines w:val="0"/>
        <w:widowControl/>
        <w:suppressLineNumbers w:val="0"/>
        <w:shd w:val="clear" w:fill="FFFFFF"/>
        <w:spacing w:before="320" w:beforeAutospacing="0" w:after="160" w:afterAutospacing="0" w:line="320" w:lineRule="atLeast"/>
        <w:ind w:left="0" w:right="0" w:firstLine="0"/>
        <w:jc w:val="center"/>
        <w:rPr>
          <w:rFonts w:ascii="Segoe UI" w:hAnsi="Segoe UI" w:eastAsia="Segoe UI" w:cs="Segoe UI"/>
          <w:b/>
          <w:bCs/>
          <w:caps w:val="0"/>
          <w:color w:val="0F1115"/>
          <w:spacing w:val="0"/>
          <w:sz w:val="36"/>
          <w:szCs w:val="36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36"/>
          <w:szCs w:val="36"/>
          <w:shd w:val="clear" w:fill="FFFFFF"/>
        </w:rPr>
        <w:t>抗震设防专项审查说明</w:t>
      </w:r>
    </w:p>
    <w:p w14:paraId="4D4106B0">
      <w:pPr>
        <w:pStyle w:val="3"/>
        <w:keepNext w:val="0"/>
        <w:keepLines w:val="0"/>
        <w:widowControl/>
        <w:suppressLineNumbers w:val="0"/>
        <w:shd w:val="clear" w:fill="FFFFFF"/>
        <w:spacing w:before="320" w:beforeAutospacing="0" w:after="160" w:afterAutospacing="0" w:line="30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  <w:shd w:val="clear" w:fill="FFFFFF"/>
        </w:rPr>
        <w:t>一、编制依据</w:t>
      </w:r>
    </w:p>
    <w:p w14:paraId="73423962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《超限高层建筑工程抗震设防专项审查技术要点》（建质〔2015〕67号）</w:t>
      </w:r>
    </w:p>
    <w:p w14:paraId="5B136345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《建筑抗震设计规范》（GB 50011-2010，2016年版）</w:t>
      </w:r>
    </w:p>
    <w:p w14:paraId="40E0D020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《高层建筑混凝土结构技术规程》（JGJ 3-2010）</w:t>
      </w:r>
    </w:p>
    <w:p w14:paraId="3A2225C2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《四川省超限高层建筑工程抗震设防专项审查实施细则》</w:t>
      </w:r>
    </w:p>
    <w:p w14:paraId="5BF2D1FF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《绿色建筑评价标准》（GB/T 50378-2019，2024年版）第2.2.3条</w:t>
      </w:r>
    </w:p>
    <w:p w14:paraId="1E671B9A">
      <w:pPr>
        <w:pStyle w:val="3"/>
        <w:keepNext w:val="0"/>
        <w:keepLines w:val="0"/>
        <w:widowControl/>
        <w:suppressLineNumbers w:val="0"/>
        <w:shd w:val="clear" w:fill="FFFFFF"/>
        <w:spacing w:before="320" w:beforeAutospacing="0" w:after="160" w:afterAutospacing="0" w:line="30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  <w:shd w:val="clear" w:fill="FFFFFF"/>
        </w:rPr>
        <w:t>二、项目基本信息</w:t>
      </w:r>
    </w:p>
    <w:tbl>
      <w:tblPr>
        <w:tblW w:w="75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394"/>
        <w:gridCol w:w="5126"/>
      </w:tblGrid>
      <w:tr w14:paraId="383F49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1A6FB5E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项目名称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60D4BD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江洲绿筑—蜀川水榭社区中心</w:t>
            </w:r>
          </w:p>
        </w:tc>
      </w:tr>
      <w:tr w14:paraId="06A05B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24ED5F5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建设地点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245D8A4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四川省绵阳市游仙区小枧片区</w:t>
            </w:r>
          </w:p>
        </w:tc>
      </w:tr>
      <w:tr w14:paraId="50197A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0BF527D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建筑类型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478E38C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公共建筑（社区中心）</w:t>
            </w:r>
          </w:p>
        </w:tc>
      </w:tr>
      <w:tr w14:paraId="2D3A69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5AB4CE3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建筑层数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5198D64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地上5层，地下0层</w:t>
            </w:r>
          </w:p>
        </w:tc>
      </w:tr>
      <w:tr w14:paraId="64CA7F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16BF90D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建筑高度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3688A74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23.3 m</w:t>
            </w:r>
          </w:p>
        </w:tc>
      </w:tr>
      <w:tr w14:paraId="0C4892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0AE28C5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结构类型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6B06F95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混凝土框架结构</w:t>
            </w:r>
          </w:p>
        </w:tc>
      </w:tr>
      <w:tr w14:paraId="4CF329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3586CDC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抗震设防类别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75B6B9F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标准设防类（丙类）</w:t>
            </w:r>
            <w:bookmarkStart w:id="0" w:name="_GoBack"/>
            <w:bookmarkEnd w:id="0"/>
          </w:p>
        </w:tc>
      </w:tr>
      <w:tr w14:paraId="42ABFB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6F11462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抗震设防烈度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55D9D14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7度（0.10g）</w:t>
            </w:r>
          </w:p>
        </w:tc>
      </w:tr>
      <w:tr w14:paraId="08AA10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51DF2EC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设计地震分组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5937AE7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第二组</w:t>
            </w:r>
          </w:p>
        </w:tc>
      </w:tr>
      <w:tr w14:paraId="51FFEC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30BC6FA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场地类别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6BDF395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Ⅱ类</w:t>
            </w:r>
          </w:p>
        </w:tc>
      </w:tr>
    </w:tbl>
    <w:p w14:paraId="7AAA2C13">
      <w:pPr>
        <w:pStyle w:val="3"/>
        <w:keepNext w:val="0"/>
        <w:keepLines w:val="0"/>
        <w:widowControl/>
        <w:suppressLineNumbers w:val="0"/>
        <w:shd w:val="clear" w:fill="FFFFFF"/>
        <w:spacing w:before="320" w:beforeAutospacing="0" w:after="160" w:afterAutospacing="0" w:line="30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  <w:shd w:val="clear" w:fill="FFFFFF"/>
        </w:rPr>
        <w:t>三、超限高层建筑定义</w:t>
      </w:r>
    </w:p>
    <w:p w14:paraId="379795EE">
      <w:pPr>
        <w:pStyle w:val="4"/>
        <w:keepNext w:val="0"/>
        <w:keepLines w:val="0"/>
        <w:widowControl/>
        <w:suppressLineNumbers w:val="0"/>
        <w:shd w:val="clear" w:fill="FFFFFF"/>
        <w:spacing w:before="160" w:beforeAutospacing="0" w:after="16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根据《超限高层建筑工程抗震设防专项审查技术要点》（建质〔2015〕67号）第二条规定，超限高层建筑工程是指：</w:t>
      </w:r>
    </w:p>
    <w:p w14:paraId="6D48769F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高度超限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：房屋高度超过《建筑抗震设计规范》GB 50011规定的最大适用高度。</w:t>
      </w:r>
    </w:p>
    <w:p w14:paraId="4770D2F1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规则性超限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：房屋高度未超过规定，但结构体型复杂、不规则程度超过规范规定。</w:t>
      </w:r>
    </w:p>
    <w:p w14:paraId="572A0E25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其他超限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：结构形式或受力体系有特殊要求，抗震设计需进行专门研究。</w:t>
      </w:r>
    </w:p>
    <w:p w14:paraId="231E288E">
      <w:pPr>
        <w:pStyle w:val="3"/>
        <w:keepNext w:val="0"/>
        <w:keepLines w:val="0"/>
        <w:widowControl/>
        <w:suppressLineNumbers w:val="0"/>
        <w:shd w:val="clear" w:fill="FFFFFF"/>
        <w:spacing w:before="320" w:beforeAutospacing="0" w:after="160" w:afterAutospacing="0" w:line="30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  <w:shd w:val="clear" w:fill="FFFFFF"/>
        </w:rPr>
        <w:t>四、高度超限判定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60"/>
        <w:gridCol w:w="2068"/>
        <w:gridCol w:w="1500"/>
        <w:gridCol w:w="920"/>
      </w:tblGrid>
      <w:tr w14:paraId="301602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1D9E755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结构类型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7E3B7C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7度区最大适用高度（m）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4B735E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本项目高度（m）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057229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是否超限</w:t>
            </w:r>
          </w:p>
        </w:tc>
      </w:tr>
      <w:tr w14:paraId="3CE9BD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1920F78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框架结构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BF05FA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BA55C3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23.3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223030A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否</w:t>
            </w:r>
          </w:p>
        </w:tc>
      </w:tr>
    </w:tbl>
    <w:p w14:paraId="677886F5">
      <w:pPr>
        <w:pStyle w:val="4"/>
        <w:keepNext w:val="0"/>
        <w:keepLines w:val="0"/>
        <w:widowControl/>
        <w:suppressLineNumbers w:val="0"/>
        <w:shd w:val="clear" w:fill="FFFFFF"/>
        <w:spacing w:before="160" w:beforeAutospacing="0" w:after="16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</w:rPr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判定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：本项目建筑高度23.3m，远小于7度区框架结构最大适用高度50m，不属于高度超限建筑。</w:t>
      </w:r>
    </w:p>
    <w:p w14:paraId="419220BA">
      <w:pPr>
        <w:pStyle w:val="3"/>
        <w:keepNext w:val="0"/>
        <w:keepLines w:val="0"/>
        <w:widowControl/>
        <w:suppressLineNumbers w:val="0"/>
        <w:shd w:val="clear" w:fill="FFFFFF"/>
        <w:spacing w:before="320" w:beforeAutospacing="0" w:after="160" w:afterAutospacing="0" w:line="30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  <w:shd w:val="clear" w:fill="FFFFFF"/>
        </w:rPr>
        <w:t>五、规则性超限判定</w:t>
      </w:r>
    </w:p>
    <w:p w14:paraId="74764BD8">
      <w:pPr>
        <w:pStyle w:val="4"/>
        <w:keepNext w:val="0"/>
        <w:keepLines w:val="0"/>
        <w:widowControl/>
        <w:suppressLineNumbers w:val="0"/>
        <w:shd w:val="clear" w:fill="FFFFFF"/>
        <w:spacing w:before="160" w:beforeAutospacing="0" w:after="16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根据《建筑抗震设计规范》GB 50011-2010及《超限高层建筑工程抗震设防专项审查技术要点》附件一，本项目规则性超限判定如下：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15"/>
        <w:gridCol w:w="2442"/>
        <w:gridCol w:w="2870"/>
        <w:gridCol w:w="920"/>
      </w:tblGrid>
      <w:tr w14:paraId="199FE8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702C3D0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超限类型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EB26DE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超限指标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33EFDB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本项目情况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DEE06A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是否超限</w:t>
            </w:r>
          </w:p>
        </w:tc>
      </w:tr>
      <w:tr w14:paraId="4B2724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6CDE189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Style w:val="7"/>
                <w:rFonts w:hint="default" w:ascii="Segoe UI" w:hAnsi="Segoe UI" w:eastAsia="Segoe UI" w:cs="Segoe UI"/>
                <w:b/>
                <w:bCs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扭转不规则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3CC4C1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扭转位移比＞1.5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3C4EB8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≤1.2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7214CB8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否</w:t>
            </w:r>
          </w:p>
        </w:tc>
      </w:tr>
      <w:tr w14:paraId="7F3E97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4C019D4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Style w:val="7"/>
                <w:rFonts w:hint="default" w:ascii="Segoe UI" w:hAnsi="Segoe UI" w:eastAsia="Segoe UI" w:cs="Segoe UI"/>
                <w:b/>
                <w:bCs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凹凸不规则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EE6517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平面凹凸尺寸大于相应边长30%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3E6DEF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≤10%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50ED9CF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否</w:t>
            </w:r>
          </w:p>
        </w:tc>
      </w:tr>
      <w:tr w14:paraId="386BD0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39383E5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Style w:val="7"/>
                <w:rFonts w:hint="default" w:ascii="Segoe UI" w:hAnsi="Segoe UI" w:eastAsia="Segoe UI" w:cs="Segoe UI"/>
                <w:b/>
                <w:bCs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楼板不连续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6F6BBF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有效楼板宽度小于典型宽度50%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C5BCEA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开洞率≤22%，有效宽度≥70%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4BE6848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否</w:t>
            </w:r>
          </w:p>
        </w:tc>
      </w:tr>
      <w:tr w14:paraId="75B7DE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3B6F6EA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Style w:val="7"/>
                <w:rFonts w:hint="default" w:ascii="Segoe UI" w:hAnsi="Segoe UI" w:eastAsia="Segoe UI" w:cs="Segoe UI"/>
                <w:b/>
                <w:bCs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竖向刚度突变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CFF9E2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相邻层侧向刚度变化＞50%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5AA126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刚度变化≤15%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0A1B7C8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否</w:t>
            </w:r>
          </w:p>
        </w:tc>
      </w:tr>
      <w:tr w14:paraId="67B308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7277C1F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Style w:val="7"/>
                <w:rFonts w:hint="default" w:ascii="Segoe UI" w:hAnsi="Segoe UI" w:eastAsia="Segoe UI" w:cs="Segoe UI"/>
                <w:b/>
                <w:bCs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竖向构件不连续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138168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竖向构件中断或转换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3BFBD6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无中断或转换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2284135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否</w:t>
            </w:r>
          </w:p>
        </w:tc>
      </w:tr>
      <w:tr w14:paraId="77BB7F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57CC47A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Style w:val="7"/>
                <w:rFonts w:hint="default" w:ascii="Segoe UI" w:hAnsi="Segoe UI" w:eastAsia="Segoe UI" w:cs="Segoe UI"/>
                <w:b/>
                <w:bCs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承载力突变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169D00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相邻层受剪承载力变化＞20%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CD3131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承载力变化≤10%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2F4711F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否</w:t>
            </w:r>
          </w:p>
        </w:tc>
      </w:tr>
      <w:tr w14:paraId="3C130C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4645444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Style w:val="7"/>
                <w:rFonts w:hint="default" w:ascii="Segoe UI" w:hAnsi="Segoe UI" w:eastAsia="Segoe UI" w:cs="Segoe UI"/>
                <w:b/>
                <w:bCs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多塔楼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E81E43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多塔楼结构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7A5984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单一塔楼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320DB77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否</w:t>
            </w:r>
          </w:p>
        </w:tc>
      </w:tr>
      <w:tr w14:paraId="096E9A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4E01FFC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Style w:val="7"/>
                <w:rFonts w:hint="default" w:ascii="Segoe UI" w:hAnsi="Segoe UI" w:eastAsia="Segoe UI" w:cs="Segoe UI"/>
                <w:b/>
                <w:bCs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连体结构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7C92BB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连体结构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68D9C6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连廊为独立轻钢结构，与主体柔性连接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1BF8C7B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否</w:t>
            </w:r>
          </w:p>
        </w:tc>
      </w:tr>
      <w:tr w14:paraId="6F6318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46723D1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Style w:val="7"/>
                <w:rFonts w:hint="default" w:ascii="Segoe UI" w:hAnsi="Segoe UI" w:eastAsia="Segoe UI" w:cs="Segoe UI"/>
                <w:b/>
                <w:bCs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错层结构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94AF7C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错层高度大于梁高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468278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无错层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4F39120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否</w:t>
            </w:r>
          </w:p>
        </w:tc>
      </w:tr>
      <w:tr w14:paraId="7AD659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29AA33C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Style w:val="7"/>
                <w:rFonts w:hint="default" w:ascii="Segoe UI" w:hAnsi="Segoe UI" w:eastAsia="Segoe UI" w:cs="Segoe UI"/>
                <w:b/>
                <w:bCs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悬挑过大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82265E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悬挑长度＞4m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3139F1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最大悬挑1.5m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71C54A7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否</w:t>
            </w:r>
          </w:p>
        </w:tc>
      </w:tr>
    </w:tbl>
    <w:p w14:paraId="08444D22">
      <w:pPr>
        <w:pStyle w:val="4"/>
        <w:keepNext w:val="0"/>
        <w:keepLines w:val="0"/>
        <w:widowControl/>
        <w:suppressLineNumbers w:val="0"/>
        <w:shd w:val="clear" w:fill="FFFFFF"/>
        <w:spacing w:before="160" w:beforeAutospacing="0" w:after="16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</w:rPr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判定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：本项目各项不规则指标均未超限，不属于规则性超限建筑。</w:t>
      </w:r>
    </w:p>
    <w:p w14:paraId="5A25F465">
      <w:pPr>
        <w:pStyle w:val="3"/>
        <w:keepNext w:val="0"/>
        <w:keepLines w:val="0"/>
        <w:widowControl/>
        <w:suppressLineNumbers w:val="0"/>
        <w:shd w:val="clear" w:fill="FFFFFF"/>
        <w:spacing w:before="320" w:beforeAutospacing="0" w:after="160" w:afterAutospacing="0" w:line="30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  <w:shd w:val="clear" w:fill="FFFFFF"/>
        </w:rPr>
        <w:t>六、其他超限判定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60"/>
        <w:gridCol w:w="2870"/>
        <w:gridCol w:w="1670"/>
        <w:gridCol w:w="920"/>
      </w:tblGrid>
      <w:tr w14:paraId="394CC8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00EF7BF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超限类型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3CDE72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判定标准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C1D7B3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本项目情况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5A7BBF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是否超限</w:t>
            </w:r>
          </w:p>
        </w:tc>
      </w:tr>
      <w:tr w14:paraId="42A690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785D2E6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特殊结构形式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F6D3D5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混合结构、钢结构、大跨度空间结构等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F76083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常规混凝土框架结构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3E03C4A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否</w:t>
            </w:r>
          </w:p>
        </w:tc>
      </w:tr>
      <w:tr w14:paraId="4C0D90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2738B29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特殊受力体系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2EC22D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悬挂结构、隔震结构、消能减震结构等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D043F4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常规抗震体系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17DE46F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否</w:t>
            </w:r>
          </w:p>
        </w:tc>
      </w:tr>
      <w:tr w14:paraId="54A827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6DF48F4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特殊地基条件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6E38BB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液化土层、软弱土层等不良地基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E247CB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地基条件良好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0398F8C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否</w:t>
            </w:r>
          </w:p>
        </w:tc>
      </w:tr>
    </w:tbl>
    <w:p w14:paraId="22DDBC81">
      <w:pPr>
        <w:pStyle w:val="4"/>
        <w:keepNext w:val="0"/>
        <w:keepLines w:val="0"/>
        <w:widowControl/>
        <w:suppressLineNumbers w:val="0"/>
        <w:shd w:val="clear" w:fill="FFFFFF"/>
        <w:spacing w:before="160" w:beforeAutospacing="0" w:after="16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</w:rPr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判定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：本项目采用常规结构形式与抗震体系，无特殊超限情况。</w:t>
      </w:r>
    </w:p>
    <w:p w14:paraId="422F0D17">
      <w:pPr>
        <w:pStyle w:val="3"/>
        <w:keepNext w:val="0"/>
        <w:keepLines w:val="0"/>
        <w:widowControl/>
        <w:suppressLineNumbers w:val="0"/>
        <w:shd w:val="clear" w:fill="FFFFFF"/>
        <w:spacing w:before="320" w:beforeAutospacing="0" w:after="160" w:afterAutospacing="0" w:line="30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  <w:shd w:val="clear" w:fill="FFFFFF"/>
        </w:rPr>
        <w:t>七、判定结论</w:t>
      </w:r>
    </w:p>
    <w:p w14:paraId="5788A35A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高度超限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：本项目建筑高度23.3m，小于7度区框架结构最大适用高度50m，</w:t>
      </w: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不属于高度超限建筑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。</w:t>
      </w:r>
    </w:p>
    <w:p w14:paraId="7D8E4168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规则性超限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：本项目建筑平面规整、竖向规则，各项不规则指标均未超过规范限值，</w:t>
      </w: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不属于规则性超限建筑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。</w:t>
      </w:r>
    </w:p>
    <w:p w14:paraId="30410381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其他超限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：本项目采用常规混凝土框架结构，无特殊结构形式或受力体系，</w:t>
      </w: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无其他超限情况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。</w:t>
      </w:r>
    </w:p>
    <w:p w14:paraId="7675F92B">
      <w:pPr>
        <w:pStyle w:val="4"/>
        <w:keepNext w:val="0"/>
        <w:keepLines w:val="0"/>
        <w:widowControl/>
        <w:suppressLineNumbers w:val="0"/>
        <w:shd w:val="clear" w:fill="FFFFFF"/>
        <w:spacing w:before="160" w:beforeAutospacing="0" w:after="16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</w:rPr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最终结论：本项目不属于超限高层建筑工程，无需进行抗震设防专项审查。</w:t>
      </w:r>
    </w:p>
    <w:p w14:paraId="5EA9B96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AE0452"/>
    <w:rsid w:val="12526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8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rPr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标题 2 Char"/>
    <w:link w:val="2"/>
    <w:qFormat/>
    <w:uiPriority w:val="0"/>
    <w:rPr>
      <w:rFonts w:ascii="Arial" w:hAnsi="Arial" w:eastAsia="黑体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2025-02-11T12:15:00Z</dcterms:created>
  <dc:creator>18123</dc:creator>
  <cp:lastModifiedBy>啊哈哈哈balabala_</cp:lastModifiedBy>
  <dcterms:modified xsi:type="dcterms:W3CDTF">2026-03-26T16:20:43Z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4081EEB6B4314EF196270F2ECA226E06_12</vt:lpwstr>
  </property>
  <property fmtid="{D5CDD505-2E9C-101B-9397-08002B2CF9AE}" pid="4" name="KSOTemplateDocerSaveRecord">
    <vt:lpwstr>eyJoZGlkIjoiZjYyNjk0MmJlNDBmYTUyYTVjOWViNWVlMmMzNmE3ZTMiLCJ1c2VySWQiOiI4MDQ2MjUwNTkifQ==</vt:lpwstr>
  </property>
</Properties>
</file>