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7D9362">
      <w:pPr>
        <w:pStyle w:val="53"/>
      </w:pPr>
      <w:bookmarkStart w:id="186" w:name="_GoBack"/>
      <w:bookmarkEnd w:id="186"/>
    </w:p>
    <w:p w14:paraId="24D35122">
      <w:pPr>
        <w:pStyle w:val="53"/>
      </w:pPr>
    </w:p>
    <w:p w14:paraId="46EE8184">
      <w:pPr>
        <w:pStyle w:val="53"/>
        <w:jc w:val="distribute"/>
        <w:rPr>
          <w:b/>
          <w:sz w:val="72"/>
          <w:szCs w:val="72"/>
        </w:rPr>
      </w:pPr>
      <w:r>
        <w:rPr>
          <w:rFonts w:hint="eastAsia"/>
          <w:b/>
          <w:sz w:val="72"/>
          <w:szCs w:val="72"/>
        </w:rPr>
        <w:t>室外风环境模拟分析报告</w:t>
      </w:r>
    </w:p>
    <w:p w14:paraId="7A5D0B8F">
      <w:pPr>
        <w:pStyle w:val="57"/>
        <w:spacing w:line="400" w:lineRule="exact"/>
      </w:pPr>
    </w:p>
    <w:p w14:paraId="56D627AD">
      <w:pPr>
        <w:pStyle w:val="57"/>
        <w:rPr>
          <w:b/>
        </w:rPr>
      </w:pPr>
      <w:bookmarkStart w:id="0" w:name="项目名称"/>
      <w:r>
        <w:t>绿色共享服务中心</w:t>
      </w:r>
    </w:p>
    <w:p w14:paraId="68E6C38A">
      <w:pPr>
        <w:pStyle w:val="57"/>
        <w:rPr>
          <w:b/>
        </w:rPr>
      </w:pPr>
      <w:r>
        <w:rPr>
          <w:rFonts w:hint="eastAsia"/>
          <w:b/>
        </w:rPr>
        <w:t>设计编号：</w:t>
      </w:r>
      <w:bookmarkStart w:id="1" w:name="设计编号"/>
    </w:p>
    <w:p w14:paraId="04094A24">
      <w:pPr>
        <w:pStyle w:val="57"/>
        <w:rPr>
          <w:b/>
        </w:rPr>
      </w:pPr>
    </w:p>
    <w:p w14:paraId="7917E281">
      <w:pPr>
        <w:pStyle w:val="53"/>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085964" cy="1085964"/>
                    </a:xfrm>
                    <a:prstGeom prst="rect">
                      <a:avLst/>
                    </a:prstGeom>
                  </pic:spPr>
                </pic:pic>
              </a:graphicData>
            </a:graphic>
          </wp:inline>
        </w:drawing>
      </w:r>
    </w:p>
    <w:p w14:paraId="4EDEFD27">
      <w:pPr>
        <w:pStyle w:val="53"/>
        <w:jc w:val="center"/>
      </w:pPr>
    </w:p>
    <w:p w14:paraId="2E7CC937">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B922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C49E724">
            <w:pPr>
              <w:pStyle w:val="53"/>
              <w:spacing w:line="240" w:lineRule="auto"/>
              <w:jc w:val="distribute"/>
            </w:pPr>
            <w:r>
              <w:rPr>
                <w:rFonts w:hint="eastAsia"/>
              </w:rPr>
              <w:t>工程地点</w:t>
            </w:r>
          </w:p>
        </w:tc>
        <w:tc>
          <w:tcPr>
            <w:tcW w:w="475" w:type="dxa"/>
            <w:vAlign w:val="center"/>
          </w:tcPr>
          <w:p w14:paraId="47479A47">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3104161E">
            <w:pPr>
              <w:pStyle w:val="53"/>
              <w:spacing w:line="240" w:lineRule="auto"/>
              <w:jc w:val="center"/>
            </w:pPr>
            <w:bookmarkStart w:id="3" w:name="工程地点"/>
            <w:bookmarkStart w:id="4" w:name="项目地点"/>
            <w:r>
              <w:t>南昌</w:t>
            </w:r>
          </w:p>
        </w:tc>
      </w:tr>
      <w:tr w14:paraId="4FB8B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1C7AFD3">
            <w:pPr>
              <w:pStyle w:val="53"/>
              <w:spacing w:line="240" w:lineRule="auto"/>
              <w:jc w:val="distribute"/>
            </w:pPr>
            <w:r>
              <w:rPr>
                <w:rFonts w:hint="eastAsia"/>
              </w:rPr>
              <w:t>建设单位</w:t>
            </w:r>
          </w:p>
        </w:tc>
        <w:tc>
          <w:tcPr>
            <w:tcW w:w="475" w:type="dxa"/>
            <w:vAlign w:val="center"/>
          </w:tcPr>
          <w:p w14:paraId="5092CBA0">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4CEA720">
            <w:pPr>
              <w:pStyle w:val="53"/>
              <w:spacing w:line="240" w:lineRule="auto"/>
              <w:jc w:val="center"/>
            </w:pPr>
            <w:bookmarkStart w:id="5" w:name="建设单位"/>
          </w:p>
        </w:tc>
      </w:tr>
      <w:tr w14:paraId="7E2D5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58B60D2">
            <w:pPr>
              <w:pStyle w:val="53"/>
              <w:spacing w:line="240" w:lineRule="auto"/>
              <w:jc w:val="distribute"/>
            </w:pPr>
            <w:r>
              <w:rPr>
                <w:rFonts w:hint="eastAsia"/>
              </w:rPr>
              <w:t>设计单位</w:t>
            </w:r>
          </w:p>
        </w:tc>
        <w:tc>
          <w:tcPr>
            <w:tcW w:w="475" w:type="dxa"/>
            <w:vAlign w:val="center"/>
          </w:tcPr>
          <w:p w14:paraId="7CF6EF91">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F7B0FEB">
            <w:pPr>
              <w:pStyle w:val="53"/>
              <w:spacing w:line="240" w:lineRule="auto"/>
              <w:jc w:val="center"/>
            </w:pPr>
            <w:bookmarkStart w:id="6" w:name="设计单位"/>
            <w:r>
              <w:t>南昌大学</w:t>
            </w:r>
          </w:p>
        </w:tc>
      </w:tr>
      <w:tr w14:paraId="4F0BE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86F7D15">
            <w:pPr>
              <w:pStyle w:val="53"/>
              <w:spacing w:line="240" w:lineRule="auto"/>
              <w:jc w:val="distribute"/>
            </w:pPr>
            <w:r>
              <w:rPr>
                <w:rFonts w:hint="eastAsia"/>
              </w:rPr>
              <w:t>设计人</w:t>
            </w:r>
          </w:p>
        </w:tc>
        <w:tc>
          <w:tcPr>
            <w:tcW w:w="475" w:type="dxa"/>
            <w:vAlign w:val="center"/>
          </w:tcPr>
          <w:p w14:paraId="5F34BA91">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63770D0">
            <w:pPr>
              <w:pStyle w:val="53"/>
              <w:spacing w:line="240" w:lineRule="auto"/>
              <w:jc w:val="center"/>
            </w:pPr>
          </w:p>
        </w:tc>
      </w:tr>
      <w:tr w14:paraId="77AFB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DABC606">
            <w:pPr>
              <w:pStyle w:val="53"/>
              <w:spacing w:line="240" w:lineRule="auto"/>
              <w:jc w:val="distribute"/>
            </w:pPr>
            <w:r>
              <w:rPr>
                <w:rFonts w:hint="eastAsia"/>
              </w:rPr>
              <w:t>校对人</w:t>
            </w:r>
          </w:p>
        </w:tc>
        <w:tc>
          <w:tcPr>
            <w:tcW w:w="475" w:type="dxa"/>
            <w:vAlign w:val="center"/>
          </w:tcPr>
          <w:p w14:paraId="1430E49E">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6E6B085">
            <w:pPr>
              <w:pStyle w:val="53"/>
              <w:spacing w:line="240" w:lineRule="auto"/>
              <w:jc w:val="center"/>
            </w:pPr>
          </w:p>
        </w:tc>
      </w:tr>
      <w:tr w14:paraId="3CAEB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EADF094">
            <w:pPr>
              <w:pStyle w:val="53"/>
              <w:spacing w:line="240" w:lineRule="auto"/>
              <w:jc w:val="distribute"/>
            </w:pPr>
            <w:r>
              <w:rPr>
                <w:rFonts w:hint="eastAsia"/>
              </w:rPr>
              <w:t>审定人</w:t>
            </w:r>
          </w:p>
        </w:tc>
        <w:tc>
          <w:tcPr>
            <w:tcW w:w="475" w:type="dxa"/>
            <w:vAlign w:val="center"/>
          </w:tcPr>
          <w:p w14:paraId="71686040">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2DADB49F">
            <w:pPr>
              <w:pStyle w:val="53"/>
              <w:spacing w:line="240" w:lineRule="auto"/>
              <w:jc w:val="center"/>
            </w:pPr>
          </w:p>
        </w:tc>
      </w:tr>
      <w:tr w14:paraId="06618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5BAE859">
            <w:pPr>
              <w:pStyle w:val="53"/>
              <w:spacing w:line="240" w:lineRule="auto"/>
              <w:jc w:val="distribute"/>
            </w:pPr>
            <w:r>
              <w:rPr>
                <w:rFonts w:hint="eastAsia"/>
              </w:rPr>
              <w:t>报告日期</w:t>
            </w:r>
          </w:p>
        </w:tc>
        <w:tc>
          <w:tcPr>
            <w:tcW w:w="475" w:type="dxa"/>
            <w:vAlign w:val="center"/>
          </w:tcPr>
          <w:p w14:paraId="06DA22C0">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F0C04EB">
            <w:pPr>
              <w:pStyle w:val="53"/>
              <w:spacing w:line="240" w:lineRule="auto"/>
              <w:jc w:val="center"/>
            </w:pPr>
            <w:bookmarkStart w:id="7" w:name="报告日期"/>
            <w:r>
              <w:t>2026年01月01日</w:t>
            </w:r>
          </w:p>
        </w:tc>
      </w:tr>
    </w:tbl>
    <w:p w14:paraId="4ACA4BB3"/>
    <w:p w14:paraId="4F2E859B">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49880B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5D4A5B0A">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3122CAA">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2885BE81">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07B7316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F2E2661">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6A227C4E">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6101D998">
            <w:pPr>
              <w:spacing w:line="360" w:lineRule="exact"/>
              <w:ind w:firstLine="360"/>
              <w:rPr>
                <w:sz w:val="18"/>
                <w:szCs w:val="18"/>
              </w:rPr>
            </w:pPr>
          </w:p>
        </w:tc>
      </w:tr>
      <w:tr w14:paraId="6A6ABC1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950205E">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62CC911A">
            <w:pPr>
              <w:pStyle w:val="55"/>
              <w:rPr>
                <w:szCs w:val="18"/>
              </w:rPr>
            </w:pPr>
            <w:r>
              <w:rPr>
                <w:rFonts w:hint="eastAsia"/>
                <w:szCs w:val="18"/>
              </w:rPr>
              <w:t xml:space="preserve">: </w:t>
            </w:r>
            <w:bookmarkStart w:id="10" w:name="加密锁号"/>
            <w:r>
              <w:rPr>
                <w:rFonts w:hint="eastAsia"/>
                <w:szCs w:val="18"/>
              </w:rPr>
              <w:t>T17398181597</w:t>
            </w:r>
          </w:p>
        </w:tc>
        <w:tc>
          <w:tcPr>
            <w:tcW w:w="3958" w:type="dxa"/>
            <w:vMerge w:val="continue"/>
            <w:tcBorders>
              <w:top w:val="single" w:color="auto" w:sz="2" w:space="0"/>
              <w:left w:val="nil"/>
              <w:bottom w:val="nil"/>
              <w:right w:val="nil"/>
            </w:tcBorders>
            <w:vAlign w:val="center"/>
          </w:tcPr>
          <w:p w14:paraId="302C4DBD">
            <w:pPr>
              <w:spacing w:line="360" w:lineRule="exact"/>
              <w:ind w:firstLine="360"/>
              <w:rPr>
                <w:sz w:val="18"/>
                <w:szCs w:val="18"/>
              </w:rPr>
            </w:pPr>
          </w:p>
        </w:tc>
      </w:tr>
      <w:tr w14:paraId="43DEB45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742943A">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7B7CF185">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DCCF62E">
            <w:pPr>
              <w:spacing w:line="360" w:lineRule="exact"/>
              <w:ind w:firstLine="360"/>
              <w:rPr>
                <w:sz w:val="18"/>
                <w:szCs w:val="18"/>
              </w:rPr>
            </w:pPr>
          </w:p>
        </w:tc>
      </w:tr>
    </w:tbl>
    <w:p w14:paraId="03867172">
      <w:pPr>
        <w:jc w:val="center"/>
        <w:rPr>
          <w:b/>
          <w:bCs/>
          <w:sz w:val="32"/>
          <w:szCs w:val="32"/>
        </w:rPr>
      </w:pPr>
      <w:r>
        <w:rPr>
          <w:b/>
          <w:bCs/>
          <w:sz w:val="28"/>
          <w:szCs w:val="32"/>
        </w:rPr>
        <w:br w:type="page"/>
      </w:r>
      <w:r>
        <w:rPr>
          <w:rFonts w:hint="eastAsia"/>
          <w:b/>
          <w:bCs/>
          <w:sz w:val="28"/>
          <w:szCs w:val="32"/>
        </w:rPr>
        <w:t>目  录</w:t>
      </w:r>
    </w:p>
    <w:p w14:paraId="1806DFAC">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_Toc21543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_Toc21543 \h </w:instrText>
      </w:r>
      <w:r>
        <w:fldChar w:fldCharType="separate"/>
      </w:r>
      <w:r>
        <w:t>3</w:t>
      </w:r>
      <w:r>
        <w:fldChar w:fldCharType="end"/>
      </w:r>
      <w:r>
        <w:rPr>
          <w:rFonts w:ascii="微软雅黑" w:hAnsi="微软雅黑"/>
          <w:caps/>
        </w:rPr>
        <w:fldChar w:fldCharType="end"/>
      </w:r>
    </w:p>
    <w:p w14:paraId="18EC81B7">
      <w:pPr>
        <w:pStyle w:val="25"/>
        <w:tabs>
          <w:tab w:val="right" w:leader="dot" w:pos="8306"/>
        </w:tabs>
      </w:pPr>
      <w:r>
        <w:rPr>
          <w:rFonts w:ascii="微软雅黑" w:hAnsi="微软雅黑"/>
          <w:caps/>
        </w:rPr>
        <w:fldChar w:fldCharType="begin"/>
      </w:r>
      <w:r>
        <w:rPr>
          <w:rFonts w:ascii="微软雅黑" w:hAnsi="微软雅黑"/>
          <w:caps/>
        </w:rPr>
        <w:instrText xml:space="preserve"> HYPERLINK \l _Toc21204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_Toc21204 \h </w:instrText>
      </w:r>
      <w:r>
        <w:fldChar w:fldCharType="separate"/>
      </w:r>
      <w:r>
        <w:t>3</w:t>
      </w:r>
      <w:r>
        <w:fldChar w:fldCharType="end"/>
      </w:r>
      <w:r>
        <w:rPr>
          <w:rFonts w:ascii="微软雅黑" w:hAnsi="微软雅黑"/>
          <w:caps/>
        </w:rPr>
        <w:fldChar w:fldCharType="end"/>
      </w:r>
    </w:p>
    <w:p w14:paraId="4C8C4163">
      <w:pPr>
        <w:pStyle w:val="25"/>
        <w:tabs>
          <w:tab w:val="right" w:leader="dot" w:pos="8306"/>
        </w:tabs>
      </w:pPr>
      <w:r>
        <w:rPr>
          <w:rFonts w:ascii="微软雅黑" w:hAnsi="微软雅黑"/>
          <w:caps/>
        </w:rPr>
        <w:fldChar w:fldCharType="begin"/>
      </w:r>
      <w:r>
        <w:rPr>
          <w:rFonts w:ascii="微软雅黑" w:hAnsi="微软雅黑"/>
          <w:caps/>
        </w:rPr>
        <w:instrText xml:space="preserve"> HYPERLINK \l _Toc16594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_Toc16594 \h </w:instrText>
      </w:r>
      <w:r>
        <w:fldChar w:fldCharType="separate"/>
      </w:r>
      <w:r>
        <w:t>3</w:t>
      </w:r>
      <w:r>
        <w:fldChar w:fldCharType="end"/>
      </w:r>
      <w:r>
        <w:rPr>
          <w:rFonts w:ascii="微软雅黑" w:hAnsi="微软雅黑"/>
          <w:caps/>
        </w:rPr>
        <w:fldChar w:fldCharType="end"/>
      </w:r>
    </w:p>
    <w:p w14:paraId="62227186">
      <w:pPr>
        <w:pStyle w:val="22"/>
        <w:tabs>
          <w:tab w:val="right" w:leader="dot" w:pos="8306"/>
        </w:tabs>
      </w:pPr>
      <w:r>
        <w:rPr>
          <w:rFonts w:ascii="微软雅黑" w:hAnsi="微软雅黑"/>
          <w:caps/>
        </w:rPr>
        <w:fldChar w:fldCharType="begin"/>
      </w:r>
      <w:r>
        <w:rPr>
          <w:rFonts w:ascii="微软雅黑" w:hAnsi="微软雅黑"/>
          <w:caps/>
        </w:rPr>
        <w:instrText xml:space="preserve"> HYPERLINK \l _Toc628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_Toc628 \h </w:instrText>
      </w:r>
      <w:r>
        <w:fldChar w:fldCharType="separate"/>
      </w:r>
      <w:r>
        <w:t>4</w:t>
      </w:r>
      <w:r>
        <w:fldChar w:fldCharType="end"/>
      </w:r>
      <w:r>
        <w:rPr>
          <w:rFonts w:ascii="微软雅黑" w:hAnsi="微软雅黑"/>
          <w:caps/>
        </w:rPr>
        <w:fldChar w:fldCharType="end"/>
      </w:r>
    </w:p>
    <w:p w14:paraId="104F1C3F">
      <w:pPr>
        <w:pStyle w:val="22"/>
        <w:tabs>
          <w:tab w:val="right" w:leader="dot" w:pos="8306"/>
        </w:tabs>
      </w:pPr>
      <w:r>
        <w:rPr>
          <w:rFonts w:ascii="微软雅黑" w:hAnsi="微软雅黑"/>
          <w:caps/>
        </w:rPr>
        <w:fldChar w:fldCharType="begin"/>
      </w:r>
      <w:r>
        <w:rPr>
          <w:rFonts w:ascii="微软雅黑" w:hAnsi="微软雅黑"/>
          <w:caps/>
        </w:rPr>
        <w:instrText xml:space="preserve"> HYPERLINK \l _Toc32169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_Toc32169 \h </w:instrText>
      </w:r>
      <w:r>
        <w:fldChar w:fldCharType="separate"/>
      </w:r>
      <w:r>
        <w:t>4</w:t>
      </w:r>
      <w:r>
        <w:fldChar w:fldCharType="end"/>
      </w:r>
      <w:r>
        <w:rPr>
          <w:rFonts w:ascii="微软雅黑" w:hAnsi="微软雅黑"/>
          <w:caps/>
        </w:rPr>
        <w:fldChar w:fldCharType="end"/>
      </w:r>
    </w:p>
    <w:p w14:paraId="2F715DB4">
      <w:pPr>
        <w:pStyle w:val="22"/>
        <w:tabs>
          <w:tab w:val="right" w:leader="dot" w:pos="8306"/>
        </w:tabs>
      </w:pPr>
      <w:r>
        <w:rPr>
          <w:rFonts w:ascii="微软雅黑" w:hAnsi="微软雅黑"/>
          <w:caps/>
        </w:rPr>
        <w:fldChar w:fldCharType="begin"/>
      </w:r>
      <w:r>
        <w:rPr>
          <w:rFonts w:ascii="微软雅黑" w:hAnsi="微软雅黑"/>
          <w:caps/>
        </w:rPr>
        <w:instrText xml:space="preserve"> HYPERLINK \l _Toc25318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_Toc25318 \h </w:instrText>
      </w:r>
      <w:r>
        <w:fldChar w:fldCharType="separate"/>
      </w:r>
      <w:r>
        <w:t>5</w:t>
      </w:r>
      <w:r>
        <w:fldChar w:fldCharType="end"/>
      </w:r>
      <w:r>
        <w:rPr>
          <w:rFonts w:ascii="微软雅黑" w:hAnsi="微软雅黑"/>
          <w:caps/>
        </w:rPr>
        <w:fldChar w:fldCharType="end"/>
      </w:r>
    </w:p>
    <w:p w14:paraId="56FAF1B5">
      <w:pPr>
        <w:pStyle w:val="25"/>
        <w:tabs>
          <w:tab w:val="right" w:leader="dot" w:pos="8306"/>
        </w:tabs>
      </w:pPr>
      <w:r>
        <w:rPr>
          <w:rFonts w:ascii="微软雅黑" w:hAnsi="微软雅黑"/>
          <w:caps/>
        </w:rPr>
        <w:fldChar w:fldCharType="begin"/>
      </w:r>
      <w:r>
        <w:rPr>
          <w:rFonts w:ascii="微软雅黑" w:hAnsi="微软雅黑"/>
          <w:caps/>
        </w:rPr>
        <w:instrText xml:space="preserve"> HYPERLINK \l _Toc10508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_Toc10508 \h </w:instrText>
      </w:r>
      <w:r>
        <w:fldChar w:fldCharType="separate"/>
      </w:r>
      <w:r>
        <w:t>5</w:t>
      </w:r>
      <w:r>
        <w:fldChar w:fldCharType="end"/>
      </w:r>
      <w:r>
        <w:rPr>
          <w:rFonts w:ascii="微软雅黑" w:hAnsi="微软雅黑"/>
          <w:caps/>
        </w:rPr>
        <w:fldChar w:fldCharType="end"/>
      </w:r>
    </w:p>
    <w:p w14:paraId="51FF4586">
      <w:pPr>
        <w:pStyle w:val="25"/>
        <w:tabs>
          <w:tab w:val="right" w:leader="dot" w:pos="8306"/>
        </w:tabs>
      </w:pPr>
      <w:r>
        <w:rPr>
          <w:rFonts w:ascii="微软雅黑" w:hAnsi="微软雅黑"/>
          <w:caps/>
        </w:rPr>
        <w:fldChar w:fldCharType="begin"/>
      </w:r>
      <w:r>
        <w:rPr>
          <w:rFonts w:ascii="微软雅黑" w:hAnsi="微软雅黑"/>
          <w:caps/>
        </w:rPr>
        <w:instrText xml:space="preserve"> HYPERLINK \l _Toc17847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_Toc17847 \h </w:instrText>
      </w:r>
      <w:r>
        <w:fldChar w:fldCharType="separate"/>
      </w:r>
      <w:r>
        <w:t>7</w:t>
      </w:r>
      <w:r>
        <w:fldChar w:fldCharType="end"/>
      </w:r>
      <w:r>
        <w:rPr>
          <w:rFonts w:ascii="微软雅黑" w:hAnsi="微软雅黑"/>
          <w:caps/>
        </w:rPr>
        <w:fldChar w:fldCharType="end"/>
      </w:r>
    </w:p>
    <w:p w14:paraId="393C872A">
      <w:pPr>
        <w:pStyle w:val="25"/>
        <w:tabs>
          <w:tab w:val="right" w:leader="dot" w:pos="8306"/>
        </w:tabs>
      </w:pPr>
      <w:r>
        <w:rPr>
          <w:rFonts w:ascii="微软雅黑" w:hAnsi="微软雅黑"/>
          <w:caps/>
        </w:rPr>
        <w:fldChar w:fldCharType="begin"/>
      </w:r>
      <w:r>
        <w:rPr>
          <w:rFonts w:ascii="微软雅黑" w:hAnsi="微软雅黑"/>
          <w:caps/>
        </w:rPr>
        <w:instrText xml:space="preserve"> HYPERLINK \l _Toc28757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_Toc28757 \h </w:instrText>
      </w:r>
      <w:r>
        <w:fldChar w:fldCharType="separate"/>
      </w:r>
      <w:r>
        <w:t>12</w:t>
      </w:r>
      <w:r>
        <w:fldChar w:fldCharType="end"/>
      </w:r>
      <w:r>
        <w:rPr>
          <w:rFonts w:ascii="微软雅黑" w:hAnsi="微软雅黑"/>
          <w:caps/>
        </w:rPr>
        <w:fldChar w:fldCharType="end"/>
      </w:r>
    </w:p>
    <w:p w14:paraId="4D306178">
      <w:pPr>
        <w:pStyle w:val="25"/>
        <w:tabs>
          <w:tab w:val="right" w:leader="dot" w:pos="8306"/>
        </w:tabs>
      </w:pPr>
      <w:r>
        <w:rPr>
          <w:rFonts w:ascii="微软雅黑" w:hAnsi="微软雅黑"/>
          <w:caps/>
        </w:rPr>
        <w:fldChar w:fldCharType="begin"/>
      </w:r>
      <w:r>
        <w:rPr>
          <w:rFonts w:ascii="微软雅黑" w:hAnsi="微软雅黑"/>
          <w:caps/>
        </w:rPr>
        <w:instrText xml:space="preserve"> HYPERLINK \l _Toc17611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_Toc17611 \h </w:instrText>
      </w:r>
      <w:r>
        <w:fldChar w:fldCharType="separate"/>
      </w:r>
      <w:r>
        <w:t>13</w:t>
      </w:r>
      <w:r>
        <w:fldChar w:fldCharType="end"/>
      </w:r>
      <w:r>
        <w:rPr>
          <w:rFonts w:ascii="微软雅黑" w:hAnsi="微软雅黑"/>
          <w:caps/>
        </w:rPr>
        <w:fldChar w:fldCharType="end"/>
      </w:r>
    </w:p>
    <w:p w14:paraId="51E1426B">
      <w:pPr>
        <w:pStyle w:val="25"/>
        <w:tabs>
          <w:tab w:val="right" w:leader="dot" w:pos="8306"/>
        </w:tabs>
      </w:pPr>
      <w:r>
        <w:rPr>
          <w:rFonts w:ascii="微软雅黑" w:hAnsi="微软雅黑"/>
          <w:caps/>
        </w:rPr>
        <w:fldChar w:fldCharType="begin"/>
      </w:r>
      <w:r>
        <w:rPr>
          <w:rFonts w:ascii="微软雅黑" w:hAnsi="微软雅黑"/>
          <w:caps/>
        </w:rPr>
        <w:instrText xml:space="preserve"> HYPERLINK \l _Toc2024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_Toc2024 \h </w:instrText>
      </w:r>
      <w:r>
        <w:fldChar w:fldCharType="separate"/>
      </w:r>
      <w:r>
        <w:t>14</w:t>
      </w:r>
      <w:r>
        <w:fldChar w:fldCharType="end"/>
      </w:r>
      <w:r>
        <w:rPr>
          <w:rFonts w:ascii="微软雅黑" w:hAnsi="微软雅黑"/>
          <w:caps/>
        </w:rPr>
        <w:fldChar w:fldCharType="end"/>
      </w:r>
    </w:p>
    <w:p w14:paraId="5376AA43">
      <w:pPr>
        <w:pStyle w:val="25"/>
        <w:tabs>
          <w:tab w:val="right" w:leader="dot" w:pos="8306"/>
        </w:tabs>
      </w:pPr>
      <w:r>
        <w:rPr>
          <w:rFonts w:ascii="微软雅黑" w:hAnsi="微软雅黑"/>
          <w:caps/>
        </w:rPr>
        <w:fldChar w:fldCharType="begin"/>
      </w:r>
      <w:r>
        <w:rPr>
          <w:rFonts w:ascii="微软雅黑" w:hAnsi="微软雅黑"/>
          <w:caps/>
        </w:rPr>
        <w:instrText xml:space="preserve"> HYPERLINK \l _Toc1223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_Toc1223 \h </w:instrText>
      </w:r>
      <w:r>
        <w:fldChar w:fldCharType="separate"/>
      </w:r>
      <w:r>
        <w:t>15</w:t>
      </w:r>
      <w:r>
        <w:fldChar w:fldCharType="end"/>
      </w:r>
      <w:r>
        <w:rPr>
          <w:rFonts w:ascii="微软雅黑" w:hAnsi="微软雅黑"/>
          <w:caps/>
        </w:rPr>
        <w:fldChar w:fldCharType="end"/>
      </w:r>
    </w:p>
    <w:p w14:paraId="3BF00202">
      <w:pPr>
        <w:pStyle w:val="22"/>
        <w:tabs>
          <w:tab w:val="right" w:leader="dot" w:pos="8306"/>
        </w:tabs>
      </w:pPr>
      <w:r>
        <w:rPr>
          <w:rFonts w:ascii="微软雅黑" w:hAnsi="微软雅黑"/>
          <w:caps/>
        </w:rPr>
        <w:fldChar w:fldCharType="begin"/>
      </w:r>
      <w:r>
        <w:rPr>
          <w:rFonts w:ascii="微软雅黑" w:hAnsi="微软雅黑"/>
          <w:caps/>
        </w:rPr>
        <w:instrText xml:space="preserve"> HYPERLINK \l _Toc25721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_Toc25721 \h </w:instrText>
      </w:r>
      <w:r>
        <w:fldChar w:fldCharType="separate"/>
      </w:r>
      <w:r>
        <w:t>15</w:t>
      </w:r>
      <w:r>
        <w:fldChar w:fldCharType="end"/>
      </w:r>
      <w:r>
        <w:rPr>
          <w:rFonts w:ascii="微软雅黑" w:hAnsi="微软雅黑"/>
          <w:caps/>
        </w:rPr>
        <w:fldChar w:fldCharType="end"/>
      </w:r>
    </w:p>
    <w:p w14:paraId="23DBF346">
      <w:pPr>
        <w:pStyle w:val="25"/>
        <w:tabs>
          <w:tab w:val="right" w:leader="dot" w:pos="8306"/>
        </w:tabs>
      </w:pPr>
      <w:r>
        <w:rPr>
          <w:rFonts w:ascii="微软雅黑" w:hAnsi="微软雅黑"/>
          <w:caps/>
        </w:rPr>
        <w:fldChar w:fldCharType="begin"/>
      </w:r>
      <w:r>
        <w:rPr>
          <w:rFonts w:ascii="微软雅黑" w:hAnsi="微软雅黑"/>
          <w:caps/>
        </w:rPr>
        <w:instrText xml:space="preserve"> HYPERLINK \l _Toc1957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_Toc1957 \h </w:instrText>
      </w:r>
      <w:r>
        <w:fldChar w:fldCharType="separate"/>
      </w:r>
      <w:r>
        <w:t>15</w:t>
      </w:r>
      <w:r>
        <w:fldChar w:fldCharType="end"/>
      </w:r>
      <w:r>
        <w:rPr>
          <w:rFonts w:ascii="微软雅黑" w:hAnsi="微软雅黑"/>
          <w:caps/>
        </w:rPr>
        <w:fldChar w:fldCharType="end"/>
      </w:r>
    </w:p>
    <w:p w14:paraId="380F9DEA">
      <w:pPr>
        <w:pStyle w:val="25"/>
        <w:tabs>
          <w:tab w:val="right" w:leader="dot" w:pos="8306"/>
        </w:tabs>
      </w:pPr>
      <w:r>
        <w:rPr>
          <w:rFonts w:ascii="微软雅黑" w:hAnsi="微软雅黑"/>
          <w:caps/>
        </w:rPr>
        <w:fldChar w:fldCharType="begin"/>
      </w:r>
      <w:r>
        <w:rPr>
          <w:rFonts w:ascii="微软雅黑" w:hAnsi="微软雅黑"/>
          <w:caps/>
        </w:rPr>
        <w:instrText xml:space="preserve"> HYPERLINK \l _Toc18379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_Toc18379 \h </w:instrText>
      </w:r>
      <w:r>
        <w:fldChar w:fldCharType="separate"/>
      </w:r>
      <w:r>
        <w:t>16</w:t>
      </w:r>
      <w:r>
        <w:fldChar w:fldCharType="end"/>
      </w:r>
      <w:r>
        <w:rPr>
          <w:rFonts w:ascii="微软雅黑" w:hAnsi="微软雅黑"/>
          <w:caps/>
        </w:rPr>
        <w:fldChar w:fldCharType="end"/>
      </w:r>
    </w:p>
    <w:p w14:paraId="551356B5">
      <w:pPr>
        <w:pStyle w:val="25"/>
        <w:tabs>
          <w:tab w:val="right" w:leader="dot" w:pos="8306"/>
        </w:tabs>
      </w:pPr>
      <w:r>
        <w:rPr>
          <w:rFonts w:ascii="微软雅黑" w:hAnsi="微软雅黑"/>
          <w:caps/>
        </w:rPr>
        <w:fldChar w:fldCharType="begin"/>
      </w:r>
      <w:r>
        <w:rPr>
          <w:rFonts w:ascii="微软雅黑" w:hAnsi="微软雅黑"/>
          <w:caps/>
        </w:rPr>
        <w:instrText xml:space="preserve"> HYPERLINK \l _Toc30982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_Toc30982 \h </w:instrText>
      </w:r>
      <w:r>
        <w:fldChar w:fldCharType="separate"/>
      </w:r>
      <w:r>
        <w:t>24</w:t>
      </w:r>
      <w:r>
        <w:fldChar w:fldCharType="end"/>
      </w:r>
      <w:r>
        <w:rPr>
          <w:rFonts w:ascii="微软雅黑" w:hAnsi="微软雅黑"/>
          <w:caps/>
        </w:rPr>
        <w:fldChar w:fldCharType="end"/>
      </w:r>
    </w:p>
    <w:p w14:paraId="6E836B4D">
      <w:pPr>
        <w:pStyle w:val="25"/>
        <w:tabs>
          <w:tab w:val="right" w:leader="dot" w:pos="8306"/>
        </w:tabs>
      </w:pPr>
      <w:r>
        <w:rPr>
          <w:rFonts w:ascii="微软雅黑" w:hAnsi="微软雅黑"/>
          <w:caps/>
        </w:rPr>
        <w:fldChar w:fldCharType="begin"/>
      </w:r>
      <w:r>
        <w:rPr>
          <w:rFonts w:ascii="微软雅黑" w:hAnsi="微软雅黑"/>
          <w:caps/>
        </w:rPr>
        <w:instrText xml:space="preserve"> HYPERLINK \l _Toc1088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_Toc1088 \h </w:instrText>
      </w:r>
      <w:r>
        <w:fldChar w:fldCharType="separate"/>
      </w:r>
      <w:r>
        <w:t>28</w:t>
      </w:r>
      <w:r>
        <w:fldChar w:fldCharType="end"/>
      </w:r>
      <w:r>
        <w:rPr>
          <w:rFonts w:ascii="微软雅黑" w:hAnsi="微软雅黑"/>
          <w:caps/>
        </w:rPr>
        <w:fldChar w:fldCharType="end"/>
      </w:r>
    </w:p>
    <w:p w14:paraId="0048BE76">
      <w:pPr>
        <w:pStyle w:val="22"/>
        <w:tabs>
          <w:tab w:val="right" w:leader="dot" w:pos="8306"/>
        </w:tabs>
      </w:pPr>
      <w:r>
        <w:rPr>
          <w:rFonts w:ascii="微软雅黑" w:hAnsi="微软雅黑"/>
          <w:caps/>
        </w:rPr>
        <w:fldChar w:fldCharType="begin"/>
      </w:r>
      <w:r>
        <w:rPr>
          <w:rFonts w:ascii="微软雅黑" w:hAnsi="微软雅黑"/>
          <w:caps/>
        </w:rPr>
        <w:instrText xml:space="preserve"> HYPERLINK \l _Toc27137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_Toc27137 \h </w:instrText>
      </w:r>
      <w:r>
        <w:fldChar w:fldCharType="separate"/>
      </w:r>
      <w:r>
        <w:t>32</w:t>
      </w:r>
      <w:r>
        <w:fldChar w:fldCharType="end"/>
      </w:r>
      <w:r>
        <w:rPr>
          <w:rFonts w:ascii="微软雅黑" w:hAnsi="微软雅黑"/>
          <w:caps/>
        </w:rPr>
        <w:fldChar w:fldCharType="end"/>
      </w:r>
    </w:p>
    <w:p w14:paraId="39246DAF">
      <w:pPr>
        <w:pStyle w:val="25"/>
        <w:tabs>
          <w:tab w:val="right" w:leader="dot" w:pos="8306"/>
        </w:tabs>
      </w:pPr>
      <w:r>
        <w:rPr>
          <w:rFonts w:ascii="微软雅黑" w:hAnsi="微软雅黑"/>
          <w:caps/>
        </w:rPr>
        <w:fldChar w:fldCharType="begin"/>
      </w:r>
      <w:r>
        <w:rPr>
          <w:rFonts w:ascii="微软雅黑" w:hAnsi="微软雅黑"/>
          <w:caps/>
        </w:rPr>
        <w:instrText xml:space="preserve"> HYPERLINK \l _Toc13794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_Toc13794 \h </w:instrText>
      </w:r>
      <w:r>
        <w:fldChar w:fldCharType="separate"/>
      </w:r>
      <w:r>
        <w:t>32</w:t>
      </w:r>
      <w:r>
        <w:fldChar w:fldCharType="end"/>
      </w:r>
      <w:r>
        <w:rPr>
          <w:rFonts w:ascii="微软雅黑" w:hAnsi="微软雅黑"/>
          <w:caps/>
        </w:rPr>
        <w:fldChar w:fldCharType="end"/>
      </w:r>
    </w:p>
    <w:p w14:paraId="42C9319D">
      <w:pPr>
        <w:pStyle w:val="25"/>
        <w:tabs>
          <w:tab w:val="right" w:leader="dot" w:pos="8306"/>
        </w:tabs>
      </w:pPr>
      <w:r>
        <w:rPr>
          <w:rFonts w:ascii="微软雅黑" w:hAnsi="微软雅黑"/>
          <w:caps/>
        </w:rPr>
        <w:fldChar w:fldCharType="begin"/>
      </w:r>
      <w:r>
        <w:rPr>
          <w:rFonts w:ascii="微软雅黑" w:hAnsi="微软雅黑"/>
          <w:caps/>
        </w:rPr>
        <w:instrText xml:space="preserve"> HYPERLINK \l _Toc24704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_Toc24704 \h </w:instrText>
      </w:r>
      <w:r>
        <w:fldChar w:fldCharType="separate"/>
      </w:r>
      <w:r>
        <w:t>32</w:t>
      </w:r>
      <w:r>
        <w:fldChar w:fldCharType="end"/>
      </w:r>
      <w:r>
        <w:rPr>
          <w:rFonts w:ascii="微软雅黑" w:hAnsi="微软雅黑"/>
          <w:caps/>
        </w:rPr>
        <w:fldChar w:fldCharType="end"/>
      </w:r>
    </w:p>
    <w:p w14:paraId="0AFB6E93">
      <w:pPr>
        <w:pStyle w:val="22"/>
        <w:tabs>
          <w:tab w:val="right" w:leader="dot" w:pos="8306"/>
        </w:tabs>
      </w:pPr>
      <w:r>
        <w:rPr>
          <w:rFonts w:ascii="微软雅黑" w:hAnsi="微软雅黑"/>
          <w:caps/>
        </w:rPr>
        <w:fldChar w:fldCharType="begin"/>
      </w:r>
      <w:r>
        <w:rPr>
          <w:rFonts w:ascii="微软雅黑" w:hAnsi="微软雅黑"/>
          <w:caps/>
        </w:rPr>
        <w:instrText xml:space="preserve"> HYPERLINK \l _Toc25816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_Toc25816 \h </w:instrText>
      </w:r>
      <w:r>
        <w:fldChar w:fldCharType="separate"/>
      </w:r>
      <w:r>
        <w:t>33</w:t>
      </w:r>
      <w:r>
        <w:fldChar w:fldCharType="end"/>
      </w:r>
      <w:r>
        <w:rPr>
          <w:rFonts w:ascii="微软雅黑" w:hAnsi="微软雅黑"/>
          <w:caps/>
        </w:rPr>
        <w:fldChar w:fldCharType="end"/>
      </w:r>
    </w:p>
    <w:p w14:paraId="68E349F8">
      <w:pPr>
        <w:pStyle w:val="25"/>
        <w:tabs>
          <w:tab w:val="right" w:leader="dot" w:pos="8306"/>
        </w:tabs>
      </w:pPr>
      <w:r>
        <w:rPr>
          <w:rFonts w:ascii="微软雅黑" w:hAnsi="微软雅黑"/>
          <w:caps/>
        </w:rPr>
        <w:fldChar w:fldCharType="begin"/>
      </w:r>
      <w:r>
        <w:rPr>
          <w:rFonts w:ascii="微软雅黑" w:hAnsi="微软雅黑"/>
          <w:caps/>
        </w:rPr>
        <w:instrText xml:space="preserve"> HYPERLINK \l _Toc32360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_Toc32360 \h </w:instrText>
      </w:r>
      <w:r>
        <w:fldChar w:fldCharType="separate"/>
      </w:r>
      <w:r>
        <w:t>33</w:t>
      </w:r>
      <w:r>
        <w:fldChar w:fldCharType="end"/>
      </w:r>
      <w:r>
        <w:rPr>
          <w:rFonts w:ascii="微软雅黑" w:hAnsi="微软雅黑"/>
          <w:caps/>
        </w:rPr>
        <w:fldChar w:fldCharType="end"/>
      </w:r>
    </w:p>
    <w:p w14:paraId="280CC1B5">
      <w:pPr>
        <w:pStyle w:val="25"/>
        <w:tabs>
          <w:tab w:val="right" w:leader="dot" w:pos="8306"/>
        </w:tabs>
      </w:pPr>
      <w:r>
        <w:rPr>
          <w:rFonts w:ascii="微软雅黑" w:hAnsi="微软雅黑"/>
          <w:caps/>
        </w:rPr>
        <w:fldChar w:fldCharType="begin"/>
      </w:r>
      <w:r>
        <w:rPr>
          <w:rFonts w:ascii="微软雅黑" w:hAnsi="微软雅黑"/>
          <w:caps/>
        </w:rPr>
        <w:instrText xml:space="preserve"> HYPERLINK \l _Toc25699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_Toc25699 \h </w:instrText>
      </w:r>
      <w:r>
        <w:fldChar w:fldCharType="separate"/>
      </w:r>
      <w:r>
        <w:t>33</w:t>
      </w:r>
      <w:r>
        <w:fldChar w:fldCharType="end"/>
      </w:r>
      <w:r>
        <w:rPr>
          <w:rFonts w:ascii="微软雅黑" w:hAnsi="微软雅黑"/>
          <w:caps/>
        </w:rPr>
        <w:fldChar w:fldCharType="end"/>
      </w:r>
    </w:p>
    <w:p w14:paraId="53EB4E59">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p>
    <w:p w14:paraId="604FE0CA">
      <w:pPr>
        <w:pStyle w:val="2"/>
      </w:pPr>
      <w:bookmarkStart w:id="12" w:name="_Toc21543"/>
      <w:bookmarkStart w:id="13" w:name="_Toc452108759"/>
      <w:r>
        <w:rPr>
          <w:rFonts w:hint="eastAsia"/>
        </w:rPr>
        <w:t>项目概况</w:t>
      </w:r>
      <w:bookmarkEnd w:id="12"/>
    </w:p>
    <w:p w14:paraId="772FF961">
      <w:pPr>
        <w:pStyle w:val="3"/>
        <w:ind w:firstLine="420"/>
        <w:rPr>
          <w:rFonts w:ascii="微软雅黑" w:hAnsi="微软雅黑" w:eastAsia="微软雅黑"/>
          <w:lang w:val="en-US"/>
        </w:rPr>
      </w:pPr>
      <w:bookmarkStart w:id="14" w:name="项目概况"/>
    </w:p>
    <w:p w14:paraId="7F89380B">
      <w:pPr>
        <w:pStyle w:val="4"/>
      </w:pPr>
      <w:bookmarkStart w:id="15" w:name="_Toc21204"/>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491D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5325E253">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62D998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0C4559F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D4552DE">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237602A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47E2872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E35FF79">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C4482E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263333D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3C0DE29B">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32A47EE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5CACFF7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E885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1E77048A">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1ADE479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0493761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5AB1CF7">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3350ECD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6B28A65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38D67233">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94DC67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4B9AFB0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3A18F12D">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6FD7F0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003CAD39">
      <w:pPr>
        <w:pStyle w:val="3"/>
        <w:ind w:firstLine="0" w:firstLineChars="0"/>
        <w:jc w:val="center"/>
        <w:rPr>
          <w:rFonts w:ascii="微软雅黑" w:hAnsi="微软雅黑" w:eastAsia="微软雅黑"/>
          <w:lang w:val="en-US"/>
        </w:rPr>
      </w:pPr>
    </w:p>
    <w:p w14:paraId="13B142C3">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67100"/>
                    </a:xfrm>
                    <a:prstGeom prst="rect">
                      <a:avLst/>
                    </a:prstGeom>
                  </pic:spPr>
                </pic:pic>
              </a:graphicData>
            </a:graphic>
          </wp:inline>
        </w:drawing>
      </w:r>
    </w:p>
    <w:p w14:paraId="0C1AA914">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39DD122F">
      <w:pPr>
        <w:pStyle w:val="3"/>
        <w:ind w:firstLine="420"/>
        <w:rPr>
          <w:rFonts w:ascii="微软雅黑" w:hAnsi="微软雅黑" w:eastAsia="微软雅黑"/>
          <w:lang w:val="en-US"/>
        </w:rPr>
      </w:pPr>
    </w:p>
    <w:p w14:paraId="73C90BC5">
      <w:pPr>
        <w:pStyle w:val="4"/>
      </w:pPr>
      <w:bookmarkStart w:id="18" w:name="_Toc16594"/>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49B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5782F23C">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45771F4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5427B62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07853FDF">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25DA51E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27F5E7D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6CA7039A">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670221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245C719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3141FB99">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4D64FAA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259C7C39">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723C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156BA9F7">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7B26476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2DCF337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0180CECC">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7488C82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20182E2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EA86C93">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22E209E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08373C4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AF17BE9">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1865220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0A8E3DB9">
      <w:pPr>
        <w:pStyle w:val="3"/>
        <w:ind w:firstLine="0" w:firstLineChars="0"/>
        <w:jc w:val="center"/>
        <w:rPr>
          <w:rFonts w:ascii="微软雅黑" w:hAnsi="微软雅黑" w:eastAsia="微软雅黑"/>
          <w:lang w:val="en-US"/>
        </w:rPr>
      </w:pPr>
    </w:p>
    <w:p w14:paraId="15C4C2F4">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76625"/>
                    </a:xfrm>
                    <a:prstGeom prst="rect">
                      <a:avLst/>
                    </a:prstGeom>
                  </pic:spPr>
                </pic:pic>
              </a:graphicData>
            </a:graphic>
          </wp:inline>
        </w:drawing>
      </w:r>
    </w:p>
    <w:p w14:paraId="0A8AD055">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415893C4">
      <w:pPr>
        <w:pStyle w:val="3"/>
        <w:ind w:firstLine="0" w:firstLineChars="0"/>
        <w:rPr>
          <w:rFonts w:ascii="微软雅黑" w:hAnsi="微软雅黑" w:eastAsia="微软雅黑"/>
          <w:lang w:val="en-US"/>
        </w:rPr>
      </w:pPr>
    </w:p>
    <w:p w14:paraId="716D536F">
      <w:pPr>
        <w:pStyle w:val="2"/>
      </w:pPr>
      <w:bookmarkStart w:id="21" w:name="_Toc628"/>
      <w:bookmarkStart w:id="22" w:name="TitleFormat"/>
      <w:bookmarkStart w:id="23" w:name="_Toc452108762"/>
      <w:r>
        <w:rPr>
          <w:rFonts w:hint="eastAsia"/>
        </w:rPr>
        <w:t>计算</w:t>
      </w:r>
      <w:r>
        <w:t>依据</w:t>
      </w:r>
      <w:bookmarkEnd w:id="21"/>
    </w:p>
    <w:p w14:paraId="0E34DFF7">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707DB088">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6A0F7524">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4EAEC664">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F9FF2AF">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119F6B3">
      <w:pPr>
        <w:pStyle w:val="2"/>
      </w:pPr>
      <w:bookmarkStart w:id="25" w:name="_Toc32169"/>
      <w:bookmarkStart w:id="26" w:name="_Toc452108763"/>
      <w:r>
        <w:rPr>
          <w:rFonts w:hint="eastAsia"/>
        </w:rPr>
        <w:t>参考</w:t>
      </w:r>
      <w:r>
        <w:t>标准</w:t>
      </w:r>
      <w:bookmarkEnd w:id="25"/>
    </w:p>
    <w:p w14:paraId="54EFDEBC">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77DBA975">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7A6AE0A1">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029032A5">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43A51AF4">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34B710CC">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6B27B23C">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515CBCDA">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058789B8">
      <w:pPr>
        <w:pStyle w:val="2"/>
      </w:pPr>
      <w:bookmarkStart w:id="35" w:name="_Toc25318"/>
      <w:r>
        <w:rPr>
          <w:rFonts w:hint="eastAsia"/>
        </w:rPr>
        <w:t>计算原理</w:t>
      </w:r>
      <w:bookmarkEnd w:id="28"/>
      <w:bookmarkEnd w:id="29"/>
      <w:bookmarkEnd w:id="35"/>
    </w:p>
    <w:p w14:paraId="650F1ADA">
      <w:pPr>
        <w:pStyle w:val="4"/>
        <w:numPr>
          <w:ilvl w:val="1"/>
          <w:numId w:val="3"/>
        </w:numPr>
      </w:pPr>
      <w:bookmarkStart w:id="36" w:name="_Toc509844740"/>
      <w:bookmarkStart w:id="37" w:name="_Toc10508"/>
      <w:bookmarkStart w:id="38" w:name="_Toc451698937"/>
      <w:bookmarkStart w:id="39" w:name="_Toc452108765"/>
      <w:r>
        <w:rPr>
          <w:rFonts w:hint="eastAsia"/>
        </w:rPr>
        <w:t>风场计算域</w:t>
      </w:r>
      <w:bookmarkEnd w:id="36"/>
      <w:bookmarkEnd w:id="37"/>
    </w:p>
    <w:p w14:paraId="4AAD9CE7">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530664D3">
      <w:pPr>
        <w:pStyle w:val="59"/>
      </w:pPr>
    </w:p>
    <w:p w14:paraId="6E03B901">
      <w:pPr>
        <w:pStyle w:val="5"/>
        <w:numPr>
          <w:ilvl w:val="2"/>
          <w:numId w:val="4"/>
        </w:numPr>
      </w:pPr>
      <w:bookmarkStart w:id="40" w:name="季节1"/>
      <w:r>
        <w:rPr>
          <w:rFonts w:hint="eastAsia"/>
        </w:rPr>
        <w:t>冬季工况风场计算域</w:t>
      </w:r>
    </w:p>
    <w:p w14:paraId="503DC9F7">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3E2CB36E">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DE0E21E">
            <w:pPr>
              <w:jc w:val="center"/>
              <w:rPr>
                <w:sz w:val="18"/>
                <w:szCs w:val="18"/>
              </w:rPr>
            </w:pPr>
            <w:r>
              <w:rPr>
                <w:rFonts w:hint="eastAsia"/>
                <w:sz w:val="18"/>
                <w:szCs w:val="18"/>
              </w:rPr>
              <w:t>顺风方向（m）</w:t>
            </w:r>
          </w:p>
        </w:tc>
        <w:tc>
          <w:tcPr>
            <w:tcW w:w="2765" w:type="dxa"/>
            <w:shd w:val="clear" w:color="auto" w:fill="D8D8D8" w:themeFill="background1" w:themeFillShade="D9"/>
          </w:tcPr>
          <w:p w14:paraId="678C35CC">
            <w:pPr>
              <w:jc w:val="center"/>
              <w:rPr>
                <w:sz w:val="18"/>
                <w:szCs w:val="18"/>
              </w:rPr>
            </w:pPr>
            <w:r>
              <w:rPr>
                <w:rFonts w:hint="eastAsia"/>
                <w:sz w:val="18"/>
                <w:szCs w:val="18"/>
              </w:rPr>
              <w:t>宽度方向（m）</w:t>
            </w:r>
          </w:p>
        </w:tc>
        <w:tc>
          <w:tcPr>
            <w:tcW w:w="2766" w:type="dxa"/>
            <w:shd w:val="clear" w:color="auto" w:fill="D8D8D8" w:themeFill="background1" w:themeFillShade="D9"/>
          </w:tcPr>
          <w:p w14:paraId="7EF77930">
            <w:pPr>
              <w:jc w:val="center"/>
              <w:rPr>
                <w:sz w:val="18"/>
                <w:szCs w:val="18"/>
              </w:rPr>
            </w:pPr>
            <w:r>
              <w:rPr>
                <w:rFonts w:hint="eastAsia"/>
                <w:sz w:val="18"/>
                <w:szCs w:val="18"/>
              </w:rPr>
              <w:t>高度方向（m）</w:t>
            </w:r>
          </w:p>
        </w:tc>
      </w:tr>
      <w:tr w14:paraId="34236468">
        <w:tblPrEx>
          <w:tblCellMar>
            <w:top w:w="0" w:type="dxa"/>
            <w:left w:w="108" w:type="dxa"/>
            <w:bottom w:w="0" w:type="dxa"/>
            <w:right w:w="108" w:type="dxa"/>
          </w:tblCellMar>
        </w:tblPrEx>
        <w:trPr>
          <w:jc w:val="center"/>
        </w:trPr>
        <w:tc>
          <w:tcPr>
            <w:tcW w:w="2765" w:type="dxa"/>
          </w:tcPr>
          <w:p w14:paraId="1F0168FE">
            <w:pPr>
              <w:jc w:val="center"/>
              <w:rPr>
                <w:sz w:val="18"/>
                <w:szCs w:val="18"/>
              </w:rPr>
            </w:pPr>
            <w:bookmarkStart w:id="42" w:name="冬季风场X尺寸"/>
            <w:r>
              <w:t>513</w:t>
            </w:r>
            <w:bookmarkEnd w:id="42"/>
          </w:p>
        </w:tc>
        <w:tc>
          <w:tcPr>
            <w:tcW w:w="2765" w:type="dxa"/>
          </w:tcPr>
          <w:p w14:paraId="1E6D0BFF">
            <w:pPr>
              <w:jc w:val="center"/>
              <w:rPr>
                <w:sz w:val="18"/>
                <w:szCs w:val="18"/>
              </w:rPr>
            </w:pPr>
            <w:bookmarkStart w:id="43" w:name="冬季风场Y尺寸"/>
            <w:r>
              <w:t>403</w:t>
            </w:r>
            <w:bookmarkEnd w:id="43"/>
          </w:p>
        </w:tc>
        <w:tc>
          <w:tcPr>
            <w:tcW w:w="2766" w:type="dxa"/>
          </w:tcPr>
          <w:p w14:paraId="69EFCDE8">
            <w:pPr>
              <w:jc w:val="center"/>
              <w:rPr>
                <w:sz w:val="18"/>
                <w:szCs w:val="18"/>
              </w:rPr>
            </w:pPr>
            <w:bookmarkStart w:id="44" w:name="冬季风场Z尺寸"/>
            <w:r>
              <w:t>116</w:t>
            </w:r>
            <w:bookmarkEnd w:id="44"/>
          </w:p>
        </w:tc>
      </w:tr>
    </w:tbl>
    <w:p w14:paraId="0625D792">
      <w:pPr>
        <w:jc w:val="center"/>
        <w:rPr>
          <w:sz w:val="18"/>
          <w:szCs w:val="18"/>
        </w:rPr>
      </w:pPr>
      <w:bookmarkStart w:id="45" w:name="冬季工况风场计算域图示"/>
      <w:bookmarkEnd w:id="45"/>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305175"/>
                    </a:xfrm>
                    <a:prstGeom prst="rect">
                      <a:avLst/>
                    </a:prstGeom>
                  </pic:spPr>
                </pic:pic>
              </a:graphicData>
            </a:graphic>
          </wp:inline>
        </w:drawing>
      </w:r>
    </w:p>
    <w:p w14:paraId="2E35B46A">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5056827A">
      <w:pPr>
        <w:pStyle w:val="5"/>
        <w:numPr>
          <w:ilvl w:val="2"/>
          <w:numId w:val="4"/>
        </w:numPr>
      </w:pPr>
      <w:r>
        <w:rPr>
          <w:rFonts w:hint="eastAsia"/>
        </w:rPr>
        <w:t>夏季工况风场计算域</w:t>
      </w:r>
    </w:p>
    <w:p w14:paraId="54C980C7">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61CC4838">
        <w:tblPrEx>
          <w:tblCellMar>
            <w:top w:w="0" w:type="dxa"/>
            <w:left w:w="108" w:type="dxa"/>
            <w:bottom w:w="0" w:type="dxa"/>
            <w:right w:w="108" w:type="dxa"/>
          </w:tblCellMar>
        </w:tblPrEx>
        <w:trPr>
          <w:jc w:val="center"/>
        </w:trPr>
        <w:tc>
          <w:tcPr>
            <w:tcW w:w="2765" w:type="dxa"/>
            <w:shd w:val="clear" w:color="auto" w:fill="D8D8D8" w:themeFill="background1" w:themeFillShade="D9"/>
          </w:tcPr>
          <w:p w14:paraId="64C5117E">
            <w:pPr>
              <w:jc w:val="center"/>
              <w:rPr>
                <w:sz w:val="18"/>
                <w:szCs w:val="18"/>
              </w:rPr>
            </w:pPr>
            <w:r>
              <w:rPr>
                <w:rFonts w:hint="eastAsia"/>
                <w:sz w:val="18"/>
                <w:szCs w:val="18"/>
              </w:rPr>
              <w:t>顺风方向（m）</w:t>
            </w:r>
          </w:p>
        </w:tc>
        <w:tc>
          <w:tcPr>
            <w:tcW w:w="2765" w:type="dxa"/>
            <w:shd w:val="clear" w:color="auto" w:fill="D8D8D8" w:themeFill="background1" w:themeFillShade="D9"/>
          </w:tcPr>
          <w:p w14:paraId="57AE5B2A">
            <w:pPr>
              <w:jc w:val="center"/>
              <w:rPr>
                <w:sz w:val="18"/>
                <w:szCs w:val="18"/>
              </w:rPr>
            </w:pPr>
            <w:r>
              <w:rPr>
                <w:rFonts w:hint="eastAsia"/>
                <w:sz w:val="18"/>
                <w:szCs w:val="18"/>
              </w:rPr>
              <w:t>宽度方向（m）</w:t>
            </w:r>
          </w:p>
        </w:tc>
        <w:tc>
          <w:tcPr>
            <w:tcW w:w="2766" w:type="dxa"/>
            <w:shd w:val="clear" w:color="auto" w:fill="D8D8D8" w:themeFill="background1" w:themeFillShade="D9"/>
          </w:tcPr>
          <w:p w14:paraId="49BCA347">
            <w:pPr>
              <w:jc w:val="center"/>
              <w:rPr>
                <w:sz w:val="18"/>
                <w:szCs w:val="18"/>
              </w:rPr>
            </w:pPr>
            <w:r>
              <w:rPr>
                <w:rFonts w:hint="eastAsia"/>
                <w:sz w:val="18"/>
                <w:szCs w:val="18"/>
              </w:rPr>
              <w:t>高度方向（m）</w:t>
            </w:r>
          </w:p>
        </w:tc>
      </w:tr>
      <w:tr w14:paraId="67584ABF">
        <w:tblPrEx>
          <w:tblCellMar>
            <w:top w:w="0" w:type="dxa"/>
            <w:left w:w="108" w:type="dxa"/>
            <w:bottom w:w="0" w:type="dxa"/>
            <w:right w:w="108" w:type="dxa"/>
          </w:tblCellMar>
        </w:tblPrEx>
        <w:trPr>
          <w:jc w:val="center"/>
        </w:trPr>
        <w:tc>
          <w:tcPr>
            <w:tcW w:w="2765" w:type="dxa"/>
          </w:tcPr>
          <w:p w14:paraId="0AF3596B">
            <w:pPr>
              <w:jc w:val="center"/>
              <w:rPr>
                <w:sz w:val="18"/>
                <w:szCs w:val="18"/>
              </w:rPr>
            </w:pPr>
            <w:r>
              <w:t>553</w:t>
            </w:r>
          </w:p>
        </w:tc>
        <w:tc>
          <w:tcPr>
            <w:tcW w:w="2765" w:type="dxa"/>
          </w:tcPr>
          <w:p w14:paraId="0A8527E0">
            <w:pPr>
              <w:jc w:val="center"/>
              <w:rPr>
                <w:sz w:val="18"/>
                <w:szCs w:val="18"/>
              </w:rPr>
            </w:pPr>
            <w:r>
              <w:t>395</w:t>
            </w:r>
          </w:p>
        </w:tc>
        <w:tc>
          <w:tcPr>
            <w:tcW w:w="2766" w:type="dxa"/>
          </w:tcPr>
          <w:p w14:paraId="7FA46BEE">
            <w:pPr>
              <w:jc w:val="center"/>
              <w:rPr>
                <w:sz w:val="18"/>
                <w:szCs w:val="18"/>
              </w:rPr>
            </w:pPr>
            <w:r>
              <w:t>116</w:t>
            </w:r>
          </w:p>
        </w:tc>
      </w:tr>
    </w:tbl>
    <w:p w14:paraId="43941255">
      <w:pPr>
        <w:jc w:val="center"/>
        <w:rPr>
          <w:sz w:val="18"/>
          <w:szCs w:val="18"/>
        </w:rPr>
      </w:pPr>
      <w:r>
        <w:drawing>
          <wp:inline distT="0" distB="0" distL="0" distR="0">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0FB5501C">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19A61BFD">
      <w:pPr>
        <w:pStyle w:val="5"/>
        <w:numPr>
          <w:ilvl w:val="2"/>
          <w:numId w:val="4"/>
        </w:numPr>
      </w:pPr>
      <w:r>
        <w:rPr>
          <w:rFonts w:hint="eastAsia"/>
        </w:rPr>
        <w:t>过渡季工况风场计算域</w:t>
      </w:r>
    </w:p>
    <w:p w14:paraId="7F6D5874">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10C4B067">
        <w:trPr>
          <w:jc w:val="center"/>
        </w:trPr>
        <w:tc>
          <w:tcPr>
            <w:tcW w:w="2765" w:type="dxa"/>
            <w:shd w:val="clear" w:color="auto" w:fill="D8D8D8" w:themeFill="background1" w:themeFillShade="D9"/>
          </w:tcPr>
          <w:p w14:paraId="3CC9AD30">
            <w:pPr>
              <w:jc w:val="center"/>
              <w:rPr>
                <w:sz w:val="18"/>
                <w:szCs w:val="18"/>
              </w:rPr>
            </w:pPr>
            <w:r>
              <w:rPr>
                <w:rFonts w:hint="eastAsia"/>
                <w:sz w:val="18"/>
                <w:szCs w:val="18"/>
              </w:rPr>
              <w:t>顺风方向（m）</w:t>
            </w:r>
          </w:p>
        </w:tc>
        <w:tc>
          <w:tcPr>
            <w:tcW w:w="2765" w:type="dxa"/>
            <w:shd w:val="clear" w:color="auto" w:fill="D8D8D8" w:themeFill="background1" w:themeFillShade="D9"/>
          </w:tcPr>
          <w:p w14:paraId="03E9F2DA">
            <w:pPr>
              <w:jc w:val="center"/>
              <w:rPr>
                <w:sz w:val="18"/>
                <w:szCs w:val="18"/>
              </w:rPr>
            </w:pPr>
            <w:r>
              <w:rPr>
                <w:rFonts w:hint="eastAsia"/>
                <w:sz w:val="18"/>
                <w:szCs w:val="18"/>
              </w:rPr>
              <w:t>宽度方向（m）</w:t>
            </w:r>
          </w:p>
        </w:tc>
        <w:tc>
          <w:tcPr>
            <w:tcW w:w="2766" w:type="dxa"/>
            <w:shd w:val="clear" w:color="auto" w:fill="D8D8D8" w:themeFill="background1" w:themeFillShade="D9"/>
          </w:tcPr>
          <w:p w14:paraId="0324B43E">
            <w:pPr>
              <w:jc w:val="center"/>
              <w:rPr>
                <w:sz w:val="18"/>
                <w:szCs w:val="18"/>
              </w:rPr>
            </w:pPr>
            <w:r>
              <w:rPr>
                <w:rFonts w:hint="eastAsia"/>
                <w:sz w:val="18"/>
                <w:szCs w:val="18"/>
              </w:rPr>
              <w:t>高度方向（m）</w:t>
            </w:r>
          </w:p>
        </w:tc>
      </w:tr>
      <w:tr w14:paraId="10438DD7">
        <w:tblPrEx>
          <w:tblCellMar>
            <w:top w:w="0" w:type="dxa"/>
            <w:left w:w="108" w:type="dxa"/>
            <w:bottom w:w="0" w:type="dxa"/>
            <w:right w:w="108" w:type="dxa"/>
          </w:tblCellMar>
        </w:tblPrEx>
        <w:trPr>
          <w:jc w:val="center"/>
        </w:trPr>
        <w:tc>
          <w:tcPr>
            <w:tcW w:w="2765" w:type="dxa"/>
          </w:tcPr>
          <w:p w14:paraId="242F4827">
            <w:pPr>
              <w:jc w:val="center"/>
              <w:rPr>
                <w:sz w:val="18"/>
                <w:szCs w:val="18"/>
              </w:rPr>
            </w:pPr>
            <w:r>
              <w:t>553</w:t>
            </w:r>
          </w:p>
        </w:tc>
        <w:tc>
          <w:tcPr>
            <w:tcW w:w="2765" w:type="dxa"/>
          </w:tcPr>
          <w:p w14:paraId="3142A98D">
            <w:pPr>
              <w:jc w:val="center"/>
              <w:rPr>
                <w:sz w:val="18"/>
                <w:szCs w:val="18"/>
              </w:rPr>
            </w:pPr>
            <w:r>
              <w:t>395</w:t>
            </w:r>
          </w:p>
        </w:tc>
        <w:tc>
          <w:tcPr>
            <w:tcW w:w="2766" w:type="dxa"/>
          </w:tcPr>
          <w:p w14:paraId="649D8CF8">
            <w:pPr>
              <w:jc w:val="center"/>
              <w:rPr>
                <w:sz w:val="18"/>
                <w:szCs w:val="18"/>
              </w:rPr>
            </w:pPr>
            <w:r>
              <w:t>116</w:t>
            </w:r>
          </w:p>
        </w:tc>
      </w:tr>
    </w:tbl>
    <w:p w14:paraId="485600E2">
      <w:pPr>
        <w:jc w:val="center"/>
        <w:rPr>
          <w:sz w:val="18"/>
          <w:szCs w:val="18"/>
        </w:rPr>
      </w:pPr>
      <w:r>
        <w:drawing>
          <wp:inline distT="0" distB="0" distL="0" distR="0">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520D63AF">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46EB97C0">
      <w:pPr>
        <w:pStyle w:val="59"/>
      </w:pPr>
      <w:bookmarkStart w:id="47" w:name="计算域"/>
      <w:bookmarkEnd w:id="47"/>
    </w:p>
    <w:p w14:paraId="53F21D43">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15AD8C42">
      <w:pPr>
        <w:pStyle w:val="4"/>
      </w:pPr>
      <w:bookmarkStart w:id="48" w:name="_Toc509844741"/>
      <w:bookmarkStart w:id="49" w:name="_Toc17847"/>
      <w:r>
        <w:rPr>
          <w:rFonts w:hint="eastAsia"/>
        </w:rPr>
        <w:t>网格划分</w:t>
      </w:r>
      <w:bookmarkEnd w:id="48"/>
      <w:bookmarkEnd w:id="49"/>
    </w:p>
    <w:p w14:paraId="33647C9D">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41B24BFA">
      <w:pPr>
        <w:pStyle w:val="13"/>
        <w:spacing w:before="156"/>
        <w:ind w:left="426" w:firstLine="0"/>
        <w:rPr>
          <w:rFonts w:ascii="微软雅黑"/>
        </w:rPr>
      </w:pPr>
      <w:bookmarkStart w:id="50" w:name="OLE_LINK277"/>
      <w:bookmarkStart w:id="51" w:name="OLE_LINK276"/>
      <w:r>
        <w:rPr>
          <w:rFonts w:hint="eastAsia" w:ascii="微软雅黑"/>
        </w:rPr>
        <w:t>1）一般网格：指除靠近地面和建筑以外的网格，通常不需要特别加密处理</w:t>
      </w:r>
    </w:p>
    <w:p w14:paraId="4201551A">
      <w:pPr>
        <w:pStyle w:val="13"/>
        <w:numPr>
          <w:ilvl w:val="0"/>
          <w:numId w:val="4"/>
        </w:numPr>
        <w:spacing w:before="156"/>
        <w:rPr>
          <w:rFonts w:ascii="微软雅黑"/>
        </w:rPr>
      </w:pPr>
      <w:bookmarkStart w:id="52" w:name="OLE_LINK15"/>
      <w:r>
        <w:rPr>
          <w:rFonts w:hint="eastAsia" w:ascii="微软雅黑"/>
        </w:rPr>
        <w:t>分弧精度：对于有圆弧特征的建筑局部，把圆弧分解为线段时，弦到弧的最大距离；</w:t>
      </w:r>
    </w:p>
    <w:bookmarkEnd w:id="52"/>
    <w:p w14:paraId="2485458E">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58F8067C">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10FA9584">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3E2211FF">
      <w:pPr>
        <w:pStyle w:val="13"/>
        <w:spacing w:before="156"/>
        <w:ind w:left="0" w:firstLine="315" w:firstLineChars="150"/>
        <w:rPr>
          <w:rFonts w:ascii="微软雅黑"/>
        </w:rPr>
      </w:pPr>
      <w:r>
        <w:rPr>
          <w:rFonts w:hint="eastAsia" w:ascii="微软雅黑"/>
        </w:rPr>
        <w:t>2）地面网格</w:t>
      </w:r>
    </w:p>
    <w:p w14:paraId="3BF0358D">
      <w:pPr>
        <w:pStyle w:val="13"/>
        <w:spacing w:before="156"/>
        <w:ind w:firstLine="315" w:firstLineChars="150"/>
        <w:rPr>
          <w:rFonts w:ascii="微软雅黑"/>
        </w:rPr>
      </w:pPr>
      <w:r>
        <w:rPr>
          <w:rFonts w:hint="eastAsia" w:ascii="微软雅黑"/>
        </w:rPr>
        <w:t>靠近建筑物的区域称为近场，远离建筑物的区域称为远场。</w:t>
      </w:r>
    </w:p>
    <w:p w14:paraId="6D09BFF6">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687EB342">
      <w:pPr>
        <w:pStyle w:val="13"/>
        <w:spacing w:before="156"/>
        <w:ind w:leftChars="150" w:hanging="105" w:hangingChars="50"/>
        <w:rPr>
          <w:rFonts w:ascii="微软雅黑"/>
        </w:rPr>
      </w:pPr>
      <w:bookmarkStart w:id="53" w:name="附面层网格信息"/>
      <w:r>
        <w:rPr>
          <w:rFonts w:hint="eastAsia" w:ascii="微软雅黑"/>
        </w:rPr>
        <w:t>3）</w:t>
      </w:r>
      <w:r>
        <w:rPr>
          <w:rFonts w:hint="eastAsia" w:ascii="微软雅黑"/>
          <w:b/>
        </w:rPr>
        <w:t>附面层</w:t>
      </w:r>
      <w:r>
        <w:rPr>
          <w:rFonts w:hint="eastAsia" w:ascii="微软雅黑"/>
        </w:rPr>
        <w:t>网格</w:t>
      </w:r>
    </w:p>
    <w:p w14:paraId="4F83457B">
      <w:pPr>
        <w:pStyle w:val="3"/>
        <w:ind w:firstLine="420"/>
        <w:rPr>
          <w:rFonts w:ascii="微软雅黑" w:hAnsi="微软雅黑" w:eastAsia="微软雅黑"/>
        </w:rPr>
      </w:pPr>
      <w:r>
        <w:rPr>
          <w:rFonts w:hint="eastAsia" w:ascii="微软雅黑" w:hAnsi="微软雅黑" w:eastAsia="微软雅黑"/>
          <w:lang w:val="en-US"/>
        </w:rPr>
        <w:t>贴近地面/建筑壁面的空气流动，因为空气自身粘性而受到地面/建筑表面阻滞作用，紧贴地面/建筑壁面的空气流动速度几乎为0，且速度随着与地面/建筑壁面距离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ascii="微软雅黑" w:hAnsi="微软雅黑" w:eastAsia="微软雅黑"/>
          <w:b/>
          <w:lang w:val="en-US"/>
        </w:rPr>
        <w:t>附面层网格</w:t>
      </w:r>
      <w:r>
        <w:rPr>
          <w:rFonts w:hint="eastAsia" w:ascii="微软雅黑" w:hAnsi="微软雅黑" w:eastAsia="微软雅黑"/>
          <w:lang w:val="en-US"/>
        </w:rPr>
        <w:t>。</w:t>
      </w:r>
    </w:p>
    <w:p w14:paraId="0E6F75C3">
      <w:pPr>
        <w:pStyle w:val="39"/>
        <w:numPr>
          <w:ilvl w:val="0"/>
          <w:numId w:val="6"/>
        </w:numPr>
        <w:tabs>
          <w:tab w:val="left" w:pos="567"/>
        </w:tabs>
        <w:spacing w:before="156"/>
        <w:ind w:hanging="840" w:firstLineChars="0"/>
        <w:rPr>
          <w:rFonts w:ascii="微软雅黑" w:hAnsi="微软雅黑"/>
        </w:rPr>
      </w:pPr>
      <w:r>
        <w:rPr>
          <w:rFonts w:hint="eastAsia" w:ascii="微软雅黑" w:hAnsi="微软雅黑"/>
        </w:rPr>
        <w:t xml:space="preserve">   地面附面层数：地面附面层网格的层数；</w:t>
      </w:r>
    </w:p>
    <w:p w14:paraId="44DCFAB2">
      <w:pPr>
        <w:pStyle w:val="39"/>
        <w:numPr>
          <w:ilvl w:val="0"/>
          <w:numId w:val="6"/>
        </w:numPr>
        <w:tabs>
          <w:tab w:val="left" w:pos="567"/>
        </w:tabs>
        <w:spacing w:before="156"/>
        <w:ind w:hanging="840" w:firstLineChars="0"/>
        <w:rPr>
          <w:rFonts w:ascii="微软雅黑" w:hAnsi="微软雅黑"/>
        </w:rPr>
      </w:pPr>
      <w:r>
        <w:rPr>
          <w:rFonts w:hint="eastAsia" w:ascii="微软雅黑" w:hAnsi="微软雅黑"/>
        </w:rPr>
        <w:t xml:space="preserve">   建筑附面层数：建筑表面附面层网格的层数；</w:t>
      </w:r>
      <w:bookmarkEnd w:id="50"/>
      <w:bookmarkEnd w:id="51"/>
    </w:p>
    <w:bookmarkEnd w:id="53"/>
    <w:p w14:paraId="6C54A5AF">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31A57E9D">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7B30D050">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3085A3D5">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tcPr>
          <w:p w14:paraId="7C203377">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CD1B307">
            <w:pPr>
              <w:jc w:val="center"/>
              <w:rPr>
                <w:sz w:val="18"/>
                <w:szCs w:val="18"/>
              </w:rPr>
            </w:pPr>
            <w:r>
              <w:rPr>
                <w:rFonts w:hint="eastAsia"/>
                <w:sz w:val="18"/>
                <w:szCs w:val="18"/>
              </w:rPr>
              <w:t>网格尺寸</w:t>
            </w:r>
          </w:p>
        </w:tc>
      </w:tr>
      <w:tr w14:paraId="266C9FE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14:paraId="4DBF5B71">
            <w:pPr>
              <w:jc w:val="center"/>
              <w:rPr>
                <w:sz w:val="18"/>
                <w:szCs w:val="18"/>
              </w:rPr>
            </w:pPr>
            <w:bookmarkStart w:id="54" w:name="冬季网格总数"/>
            <w:r>
              <w:t>603592</w:t>
            </w:r>
            <w:bookmarkEnd w:id="5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F5A6B07">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9E8524">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0790F79">
            <w:pPr>
              <w:jc w:val="center"/>
              <w:rPr>
                <w:sz w:val="18"/>
                <w:szCs w:val="18"/>
              </w:rPr>
            </w:pPr>
            <w:bookmarkStart w:id="55" w:name="冬季分弧精度"/>
            <w:r>
              <w:t>0.24</w:t>
            </w:r>
            <w:bookmarkEnd w:id="55"/>
          </w:p>
        </w:tc>
      </w:tr>
      <w:tr w14:paraId="3FA1178D">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50E4EE52">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AA30B3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848B37D">
            <w:pPr>
              <w:jc w:val="center"/>
              <w:rPr>
                <w:sz w:val="18"/>
                <w:szCs w:val="18"/>
              </w:rPr>
            </w:pPr>
            <w:r>
              <w:rPr>
                <w:rFonts w:hint="eastAsia"/>
                <w:sz w:val="18"/>
                <w:szCs w:val="18"/>
              </w:rPr>
              <w:t>初始网格(m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94255A3">
            <w:pPr>
              <w:jc w:val="center"/>
              <w:rPr>
                <w:sz w:val="18"/>
                <w:szCs w:val="18"/>
              </w:rPr>
            </w:pPr>
            <w:bookmarkStart w:id="56" w:name="冬季初始网格"/>
            <w:r>
              <w:t>8.0</w:t>
            </w:r>
            <w:bookmarkEnd w:id="56"/>
          </w:p>
        </w:tc>
      </w:tr>
      <w:tr w14:paraId="0AD3F6BA">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7BA9357D">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972B59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CA5EE98">
            <w:pPr>
              <w:jc w:val="center"/>
              <w:rPr>
                <w:sz w:val="18"/>
                <w:szCs w:val="18"/>
              </w:rPr>
            </w:pPr>
            <w:r>
              <w:rPr>
                <w:rFonts w:hint="eastAsia"/>
                <w:sz w:val="18"/>
                <w:szCs w:val="18"/>
              </w:rPr>
              <w:t>最小细分级数</w:t>
            </w:r>
          </w:p>
        </w:tc>
        <w:tc>
          <w:tcPr>
            <w:tcW w:w="1701" w:type="dxa"/>
            <w:tcBorders>
              <w:top w:val="nil"/>
              <w:left w:val="nil"/>
              <w:bottom w:val="single" w:color="auto" w:sz="4" w:space="0"/>
              <w:right w:val="single" w:color="auto" w:sz="4" w:space="0"/>
            </w:tcBorders>
            <w:shd w:val="clear" w:color="auto" w:fill="auto"/>
            <w:noWrap/>
            <w:vAlign w:val="center"/>
          </w:tcPr>
          <w:p w14:paraId="1B4494EA">
            <w:pPr>
              <w:jc w:val="center"/>
              <w:rPr>
                <w:sz w:val="18"/>
                <w:szCs w:val="18"/>
              </w:rPr>
            </w:pPr>
            <w:bookmarkStart w:id="57" w:name="冬季最小细分级数"/>
            <w:r>
              <w:t>1</w:t>
            </w:r>
            <w:bookmarkEnd w:id="57"/>
          </w:p>
        </w:tc>
      </w:tr>
      <w:tr w14:paraId="4961D5C1">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656C9877">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29B679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5D972F0">
            <w:pPr>
              <w:jc w:val="center"/>
              <w:rPr>
                <w:sz w:val="18"/>
                <w:szCs w:val="18"/>
              </w:rPr>
            </w:pPr>
            <w:r>
              <w:rPr>
                <w:rFonts w:hint="eastAsia"/>
                <w:sz w:val="18"/>
                <w:szCs w:val="18"/>
              </w:rPr>
              <w:t>最大细分级数</w:t>
            </w:r>
          </w:p>
        </w:tc>
        <w:tc>
          <w:tcPr>
            <w:tcW w:w="1701" w:type="dxa"/>
            <w:tcBorders>
              <w:top w:val="nil"/>
              <w:left w:val="nil"/>
              <w:bottom w:val="single" w:color="auto" w:sz="4" w:space="0"/>
              <w:right w:val="single" w:color="auto" w:sz="4" w:space="0"/>
            </w:tcBorders>
            <w:shd w:val="clear" w:color="auto" w:fill="auto"/>
            <w:noWrap/>
            <w:vAlign w:val="center"/>
          </w:tcPr>
          <w:p w14:paraId="70E1C851">
            <w:pPr>
              <w:jc w:val="center"/>
              <w:rPr>
                <w:sz w:val="18"/>
                <w:szCs w:val="18"/>
              </w:rPr>
            </w:pPr>
            <w:bookmarkStart w:id="58" w:name="冬季最大细分级数"/>
            <w:r>
              <w:t>2</w:t>
            </w:r>
            <w:bookmarkEnd w:id="58"/>
          </w:p>
        </w:tc>
      </w:tr>
      <w:tr w14:paraId="49D3B505">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15E71161">
            <w:pP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63C4B5F">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1DEA627">
            <w:pPr>
              <w:jc w:val="center"/>
              <w:rPr>
                <w:sz w:val="18"/>
                <w:szCs w:val="18"/>
              </w:rPr>
            </w:pPr>
            <w:r>
              <w:rPr>
                <w:rFonts w:hint="eastAsia"/>
                <w:sz w:val="18"/>
                <w:szCs w:val="18"/>
              </w:rPr>
              <w:t>远场细分级数</w:t>
            </w:r>
          </w:p>
        </w:tc>
        <w:tc>
          <w:tcPr>
            <w:tcW w:w="1701" w:type="dxa"/>
            <w:tcBorders>
              <w:top w:val="nil"/>
              <w:left w:val="nil"/>
              <w:bottom w:val="single" w:color="auto" w:sz="4" w:space="0"/>
              <w:right w:val="single" w:color="auto" w:sz="4" w:space="0"/>
            </w:tcBorders>
            <w:shd w:val="clear" w:color="auto" w:fill="auto"/>
            <w:noWrap/>
            <w:vAlign w:val="center"/>
          </w:tcPr>
          <w:p w14:paraId="27AA18F5">
            <w:pPr>
              <w:jc w:val="center"/>
              <w:rPr>
                <w:sz w:val="18"/>
                <w:szCs w:val="18"/>
              </w:rPr>
            </w:pPr>
            <w:bookmarkStart w:id="59" w:name="冬季远场细分级数"/>
            <w:r>
              <w:t>1</w:t>
            </w:r>
            <w:bookmarkEnd w:id="59"/>
          </w:p>
        </w:tc>
      </w:tr>
      <w:tr w14:paraId="24BF3842">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79C06094">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21D3A32">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7BDA0B0">
            <w:pPr>
              <w:jc w:val="center"/>
              <w:rPr>
                <w:sz w:val="18"/>
                <w:szCs w:val="18"/>
              </w:rPr>
            </w:pPr>
            <w:r>
              <w:rPr>
                <w:rFonts w:hint="eastAsia"/>
                <w:sz w:val="18"/>
                <w:szCs w:val="18"/>
              </w:rPr>
              <w:t>近场细分级数</w:t>
            </w:r>
          </w:p>
        </w:tc>
        <w:tc>
          <w:tcPr>
            <w:tcW w:w="1701" w:type="dxa"/>
            <w:tcBorders>
              <w:top w:val="nil"/>
              <w:left w:val="nil"/>
              <w:bottom w:val="single" w:color="auto" w:sz="4" w:space="0"/>
              <w:right w:val="single" w:color="auto" w:sz="4" w:space="0"/>
            </w:tcBorders>
            <w:shd w:val="clear" w:color="auto" w:fill="auto"/>
            <w:noWrap/>
            <w:vAlign w:val="center"/>
          </w:tcPr>
          <w:p w14:paraId="55306BB4">
            <w:pPr>
              <w:jc w:val="center"/>
              <w:rPr>
                <w:sz w:val="18"/>
                <w:szCs w:val="18"/>
              </w:rPr>
            </w:pPr>
            <w:bookmarkStart w:id="60" w:name="冬季近场细分级数"/>
            <w:r>
              <w:t>2</w:t>
            </w:r>
            <w:bookmarkEnd w:id="60"/>
          </w:p>
        </w:tc>
      </w:tr>
      <w:tr w14:paraId="24C26176">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4EB68432">
            <w:pP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C0CF408">
            <w:pPr>
              <w:jc w:val="center"/>
              <w:rPr>
                <w:sz w:val="18"/>
                <w:szCs w:val="18"/>
              </w:rPr>
            </w:pPr>
            <w:r>
              <w:rPr>
                <w:rFonts w:hint="eastAsia"/>
                <w:sz w:val="18"/>
                <w:szCs w:val="18"/>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D498C5C">
            <w:pPr>
              <w:jc w:val="center"/>
              <w:rPr>
                <w:sz w:val="18"/>
                <w:szCs w:val="18"/>
              </w:rPr>
            </w:pPr>
            <w:r>
              <w:rPr>
                <w:rFonts w:hint="eastAsia"/>
                <w:sz w:val="18"/>
                <w:szCs w:val="18"/>
              </w:rPr>
              <w:t>地面附面层数</w:t>
            </w:r>
          </w:p>
        </w:tc>
        <w:tc>
          <w:tcPr>
            <w:tcW w:w="1701" w:type="dxa"/>
            <w:tcBorders>
              <w:top w:val="nil"/>
              <w:left w:val="nil"/>
              <w:bottom w:val="single" w:color="auto" w:sz="4" w:space="0"/>
              <w:right w:val="single" w:color="auto" w:sz="4" w:space="0"/>
            </w:tcBorders>
            <w:shd w:val="clear" w:color="auto" w:fill="auto"/>
            <w:noWrap/>
            <w:vAlign w:val="center"/>
          </w:tcPr>
          <w:p w14:paraId="295F93CF">
            <w:pPr>
              <w:jc w:val="center"/>
              <w:rPr>
                <w:sz w:val="18"/>
                <w:szCs w:val="18"/>
              </w:rPr>
            </w:pPr>
            <w:bookmarkStart w:id="61" w:name="冬季地面附面层数"/>
            <w:r>
              <w:t>2</w:t>
            </w:r>
            <w:bookmarkEnd w:id="61"/>
          </w:p>
        </w:tc>
      </w:tr>
      <w:tr w14:paraId="1FBFE58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92FF65E">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93699F1">
            <w:pP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5E65326">
            <w:pPr>
              <w:jc w:val="center"/>
              <w:rPr>
                <w:sz w:val="18"/>
                <w:szCs w:val="18"/>
              </w:rPr>
            </w:pPr>
            <w:r>
              <w:rPr>
                <w:rFonts w:hint="eastAsia"/>
                <w:sz w:val="18"/>
                <w:szCs w:val="18"/>
              </w:rPr>
              <w:t>建筑附面层数</w:t>
            </w:r>
          </w:p>
        </w:tc>
        <w:tc>
          <w:tcPr>
            <w:tcW w:w="1701" w:type="dxa"/>
            <w:tcBorders>
              <w:top w:val="nil"/>
              <w:left w:val="nil"/>
              <w:bottom w:val="single" w:color="auto" w:sz="4" w:space="0"/>
              <w:right w:val="single" w:color="auto" w:sz="4" w:space="0"/>
            </w:tcBorders>
            <w:shd w:val="clear" w:color="auto" w:fill="auto"/>
            <w:noWrap/>
            <w:vAlign w:val="center"/>
          </w:tcPr>
          <w:p w14:paraId="7025A76D">
            <w:pPr>
              <w:jc w:val="center"/>
              <w:rPr>
                <w:sz w:val="18"/>
                <w:szCs w:val="18"/>
              </w:rPr>
            </w:pPr>
            <w:bookmarkStart w:id="62" w:name="冬季建筑附面层数"/>
            <w:r>
              <w:t>0</w:t>
            </w:r>
            <w:bookmarkEnd w:id="62"/>
          </w:p>
        </w:tc>
      </w:tr>
    </w:tbl>
    <w:p w14:paraId="11BB0364">
      <w:pPr>
        <w:spacing w:line="400" w:lineRule="exact"/>
        <w:rPr>
          <w:sz w:val="18"/>
          <w:szCs w:val="18"/>
          <w:lang w:val="en-US"/>
        </w:rPr>
      </w:pPr>
    </w:p>
    <w:p w14:paraId="460EA884">
      <w:pPr>
        <w:jc w:val="center"/>
      </w:pPr>
      <w:bookmarkStart w:id="63" w:name="网格图"/>
      <w:bookmarkEnd w:id="63"/>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60D9C6F5">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64" w:name="季节"/>
      <w:r>
        <w:rPr>
          <w:rFonts w:hint="eastAsia"/>
          <w:sz w:val="18"/>
          <w:szCs w:val="18"/>
        </w:rPr>
        <w:t>冬季</w:t>
      </w:r>
      <w:bookmarkEnd w:id="64"/>
    </w:p>
    <w:p w14:paraId="57021444">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033BE0FC">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218191D5">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tcPr>
          <w:p w14:paraId="5BCED7C1">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542060">
            <w:pPr>
              <w:jc w:val="center"/>
              <w:rPr>
                <w:sz w:val="18"/>
                <w:szCs w:val="18"/>
              </w:rPr>
            </w:pPr>
            <w:r>
              <w:rPr>
                <w:rFonts w:hint="eastAsia"/>
                <w:sz w:val="18"/>
                <w:szCs w:val="18"/>
              </w:rPr>
              <w:t>网格尺寸</w:t>
            </w:r>
          </w:p>
        </w:tc>
      </w:tr>
      <w:tr w14:paraId="2AA52DBB">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14:paraId="359B352E">
            <w:pPr>
              <w:jc w:val="center"/>
              <w:rPr>
                <w:sz w:val="18"/>
                <w:szCs w:val="18"/>
              </w:rPr>
            </w:pPr>
            <w:r>
              <w:t>624617</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499CE09">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E6446C9">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4190B5C">
            <w:pPr>
              <w:jc w:val="center"/>
              <w:rPr>
                <w:sz w:val="18"/>
                <w:szCs w:val="18"/>
              </w:rPr>
            </w:pPr>
            <w:r>
              <w:t>0.24</w:t>
            </w:r>
          </w:p>
        </w:tc>
      </w:tr>
      <w:tr w14:paraId="389704BA">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1B031C1C">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EE04C9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634A51D">
            <w:pPr>
              <w:jc w:val="center"/>
              <w:rPr>
                <w:sz w:val="18"/>
                <w:szCs w:val="18"/>
              </w:rPr>
            </w:pPr>
            <w:r>
              <w:rPr>
                <w:rFonts w:hint="eastAsia"/>
                <w:sz w:val="18"/>
                <w:szCs w:val="18"/>
              </w:rPr>
              <w:t>初始网格(m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EF30457">
            <w:pPr>
              <w:jc w:val="center"/>
              <w:rPr>
                <w:sz w:val="18"/>
                <w:szCs w:val="18"/>
              </w:rPr>
            </w:pPr>
            <w:r>
              <w:t>8.0</w:t>
            </w:r>
          </w:p>
        </w:tc>
      </w:tr>
      <w:tr w14:paraId="1D56A7BA">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07F0F2D0">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D8BEDF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E7FA73B">
            <w:pPr>
              <w:jc w:val="center"/>
              <w:rPr>
                <w:sz w:val="18"/>
                <w:szCs w:val="18"/>
              </w:rPr>
            </w:pPr>
            <w:r>
              <w:rPr>
                <w:rFonts w:hint="eastAsia"/>
                <w:sz w:val="18"/>
                <w:szCs w:val="18"/>
              </w:rPr>
              <w:t>最小细分级数</w:t>
            </w:r>
          </w:p>
        </w:tc>
        <w:tc>
          <w:tcPr>
            <w:tcW w:w="1701" w:type="dxa"/>
            <w:tcBorders>
              <w:top w:val="nil"/>
              <w:left w:val="nil"/>
              <w:bottom w:val="single" w:color="auto" w:sz="4" w:space="0"/>
              <w:right w:val="single" w:color="auto" w:sz="4" w:space="0"/>
            </w:tcBorders>
            <w:shd w:val="clear" w:color="auto" w:fill="auto"/>
            <w:noWrap/>
            <w:vAlign w:val="center"/>
          </w:tcPr>
          <w:p w14:paraId="7245652A">
            <w:pPr>
              <w:jc w:val="center"/>
              <w:rPr>
                <w:sz w:val="18"/>
                <w:szCs w:val="18"/>
              </w:rPr>
            </w:pPr>
            <w:r>
              <w:t>1</w:t>
            </w:r>
          </w:p>
        </w:tc>
      </w:tr>
      <w:tr w14:paraId="52933553">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31AA040D">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3340D1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275AF15">
            <w:pPr>
              <w:jc w:val="center"/>
              <w:rPr>
                <w:sz w:val="18"/>
                <w:szCs w:val="18"/>
              </w:rPr>
            </w:pPr>
            <w:r>
              <w:rPr>
                <w:rFonts w:hint="eastAsia"/>
                <w:sz w:val="18"/>
                <w:szCs w:val="18"/>
              </w:rPr>
              <w:t>最大细分级数</w:t>
            </w:r>
          </w:p>
        </w:tc>
        <w:tc>
          <w:tcPr>
            <w:tcW w:w="1701" w:type="dxa"/>
            <w:tcBorders>
              <w:top w:val="nil"/>
              <w:left w:val="nil"/>
              <w:bottom w:val="single" w:color="auto" w:sz="4" w:space="0"/>
              <w:right w:val="single" w:color="auto" w:sz="4" w:space="0"/>
            </w:tcBorders>
            <w:shd w:val="clear" w:color="auto" w:fill="auto"/>
            <w:noWrap/>
            <w:vAlign w:val="center"/>
          </w:tcPr>
          <w:p w14:paraId="4A55C2A9">
            <w:pPr>
              <w:jc w:val="center"/>
              <w:rPr>
                <w:sz w:val="18"/>
                <w:szCs w:val="18"/>
              </w:rPr>
            </w:pPr>
            <w:r>
              <w:t>2</w:t>
            </w:r>
          </w:p>
        </w:tc>
      </w:tr>
      <w:tr w14:paraId="65F13A10">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74C10662">
            <w:pP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ABA3D62">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9CC995">
            <w:pPr>
              <w:jc w:val="center"/>
              <w:rPr>
                <w:sz w:val="18"/>
                <w:szCs w:val="18"/>
              </w:rPr>
            </w:pPr>
            <w:r>
              <w:rPr>
                <w:rFonts w:hint="eastAsia"/>
                <w:sz w:val="18"/>
                <w:szCs w:val="18"/>
              </w:rPr>
              <w:t>远场细分级数</w:t>
            </w:r>
          </w:p>
        </w:tc>
        <w:tc>
          <w:tcPr>
            <w:tcW w:w="1701" w:type="dxa"/>
            <w:tcBorders>
              <w:top w:val="nil"/>
              <w:left w:val="nil"/>
              <w:bottom w:val="single" w:color="auto" w:sz="4" w:space="0"/>
              <w:right w:val="single" w:color="auto" w:sz="4" w:space="0"/>
            </w:tcBorders>
            <w:shd w:val="clear" w:color="auto" w:fill="auto"/>
            <w:noWrap/>
            <w:vAlign w:val="center"/>
          </w:tcPr>
          <w:p w14:paraId="0773F37A">
            <w:pPr>
              <w:jc w:val="center"/>
              <w:rPr>
                <w:sz w:val="18"/>
                <w:szCs w:val="18"/>
              </w:rPr>
            </w:pPr>
            <w:r>
              <w:t>1</w:t>
            </w:r>
          </w:p>
        </w:tc>
      </w:tr>
      <w:tr w14:paraId="1DD141A4">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419C55A4">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C3E07F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080C6AC">
            <w:pPr>
              <w:jc w:val="center"/>
              <w:rPr>
                <w:sz w:val="18"/>
                <w:szCs w:val="18"/>
              </w:rPr>
            </w:pPr>
            <w:r>
              <w:rPr>
                <w:rFonts w:hint="eastAsia"/>
                <w:sz w:val="18"/>
                <w:szCs w:val="18"/>
              </w:rPr>
              <w:t>近场细分级数</w:t>
            </w:r>
          </w:p>
        </w:tc>
        <w:tc>
          <w:tcPr>
            <w:tcW w:w="1701" w:type="dxa"/>
            <w:tcBorders>
              <w:top w:val="nil"/>
              <w:left w:val="nil"/>
              <w:bottom w:val="single" w:color="auto" w:sz="4" w:space="0"/>
              <w:right w:val="single" w:color="auto" w:sz="4" w:space="0"/>
            </w:tcBorders>
            <w:shd w:val="clear" w:color="auto" w:fill="auto"/>
            <w:noWrap/>
            <w:vAlign w:val="center"/>
          </w:tcPr>
          <w:p w14:paraId="455F7103">
            <w:pPr>
              <w:jc w:val="center"/>
              <w:rPr>
                <w:sz w:val="18"/>
                <w:szCs w:val="18"/>
              </w:rPr>
            </w:pPr>
            <w:r>
              <w:t>2</w:t>
            </w:r>
          </w:p>
        </w:tc>
      </w:tr>
      <w:tr w14:paraId="790DA1DE">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1646A6DE">
            <w:pP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012183F">
            <w:pPr>
              <w:jc w:val="center"/>
              <w:rPr>
                <w:sz w:val="18"/>
                <w:szCs w:val="18"/>
              </w:rPr>
            </w:pPr>
            <w:r>
              <w:rPr>
                <w:rFonts w:hint="eastAsia"/>
                <w:sz w:val="18"/>
                <w:szCs w:val="18"/>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4B9EF9F">
            <w:pPr>
              <w:jc w:val="center"/>
              <w:rPr>
                <w:sz w:val="18"/>
                <w:szCs w:val="18"/>
              </w:rPr>
            </w:pPr>
            <w:r>
              <w:rPr>
                <w:rFonts w:hint="eastAsia"/>
                <w:sz w:val="18"/>
                <w:szCs w:val="18"/>
              </w:rPr>
              <w:t>地面附面层数</w:t>
            </w:r>
          </w:p>
        </w:tc>
        <w:tc>
          <w:tcPr>
            <w:tcW w:w="1701" w:type="dxa"/>
            <w:tcBorders>
              <w:top w:val="nil"/>
              <w:left w:val="nil"/>
              <w:bottom w:val="single" w:color="auto" w:sz="4" w:space="0"/>
              <w:right w:val="single" w:color="auto" w:sz="4" w:space="0"/>
            </w:tcBorders>
            <w:shd w:val="clear" w:color="auto" w:fill="auto"/>
            <w:noWrap/>
            <w:vAlign w:val="center"/>
          </w:tcPr>
          <w:p w14:paraId="71E44C39">
            <w:pPr>
              <w:jc w:val="center"/>
              <w:rPr>
                <w:sz w:val="18"/>
                <w:szCs w:val="18"/>
              </w:rPr>
            </w:pPr>
            <w:r>
              <w:t>2</w:t>
            </w:r>
          </w:p>
        </w:tc>
      </w:tr>
      <w:tr w14:paraId="6AADEEE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F7EB152">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87978AD">
            <w:pP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4456165">
            <w:pPr>
              <w:jc w:val="center"/>
              <w:rPr>
                <w:sz w:val="18"/>
                <w:szCs w:val="18"/>
              </w:rPr>
            </w:pPr>
            <w:r>
              <w:rPr>
                <w:rFonts w:hint="eastAsia"/>
                <w:sz w:val="18"/>
                <w:szCs w:val="18"/>
              </w:rPr>
              <w:t>建筑附面层数</w:t>
            </w:r>
          </w:p>
        </w:tc>
        <w:tc>
          <w:tcPr>
            <w:tcW w:w="1701" w:type="dxa"/>
            <w:tcBorders>
              <w:top w:val="nil"/>
              <w:left w:val="nil"/>
              <w:bottom w:val="single" w:color="auto" w:sz="4" w:space="0"/>
              <w:right w:val="single" w:color="auto" w:sz="4" w:space="0"/>
            </w:tcBorders>
            <w:shd w:val="clear" w:color="auto" w:fill="auto"/>
            <w:noWrap/>
            <w:vAlign w:val="center"/>
          </w:tcPr>
          <w:p w14:paraId="651F5E57">
            <w:pPr>
              <w:jc w:val="center"/>
              <w:rPr>
                <w:sz w:val="18"/>
                <w:szCs w:val="18"/>
              </w:rPr>
            </w:pPr>
            <w:r>
              <w:t>0</w:t>
            </w:r>
          </w:p>
        </w:tc>
      </w:tr>
    </w:tbl>
    <w:p w14:paraId="24D6B29B">
      <w:pPr>
        <w:spacing w:line="400" w:lineRule="exact"/>
        <w:rPr>
          <w:sz w:val="18"/>
          <w:szCs w:val="18"/>
          <w:lang w:val="en-US"/>
        </w:rPr>
      </w:pPr>
    </w:p>
    <w:p w14:paraId="108DD25C">
      <w:pPr>
        <w:jc w:val="center"/>
      </w:pPr>
      <w:r>
        <w:drawing>
          <wp:inline distT="0" distB="0" distL="0" distR="0">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4AC521EA">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73E786FC">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3FFDCE5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7F27F282">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tcPr>
          <w:p w14:paraId="68DAC9F3">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554D170">
            <w:pPr>
              <w:jc w:val="center"/>
              <w:rPr>
                <w:sz w:val="18"/>
                <w:szCs w:val="18"/>
              </w:rPr>
            </w:pPr>
            <w:r>
              <w:rPr>
                <w:rFonts w:hint="eastAsia"/>
                <w:sz w:val="18"/>
                <w:szCs w:val="18"/>
              </w:rPr>
              <w:t>网格尺寸</w:t>
            </w:r>
          </w:p>
        </w:tc>
      </w:tr>
      <w:tr w14:paraId="69A0DE65">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14:paraId="12421376">
            <w:pPr>
              <w:jc w:val="center"/>
              <w:rPr>
                <w:sz w:val="18"/>
                <w:szCs w:val="18"/>
              </w:rPr>
            </w:pPr>
            <w:r>
              <w:t>624617</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3489ACB">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C9E994A">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7B1F291">
            <w:pPr>
              <w:jc w:val="center"/>
              <w:rPr>
                <w:sz w:val="18"/>
                <w:szCs w:val="18"/>
              </w:rPr>
            </w:pPr>
            <w:r>
              <w:t>0.24</w:t>
            </w:r>
          </w:p>
        </w:tc>
      </w:tr>
      <w:tr w14:paraId="3CDA5F8B">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4E494B6B">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63B4BA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D00F5A1">
            <w:pPr>
              <w:jc w:val="center"/>
              <w:rPr>
                <w:sz w:val="18"/>
                <w:szCs w:val="18"/>
              </w:rPr>
            </w:pPr>
            <w:r>
              <w:rPr>
                <w:rFonts w:hint="eastAsia"/>
                <w:sz w:val="18"/>
                <w:szCs w:val="18"/>
              </w:rPr>
              <w:t>初始网格(m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B30FB9E">
            <w:pPr>
              <w:jc w:val="center"/>
              <w:rPr>
                <w:sz w:val="18"/>
                <w:szCs w:val="18"/>
              </w:rPr>
            </w:pPr>
            <w:r>
              <w:t>8.0</w:t>
            </w:r>
          </w:p>
        </w:tc>
      </w:tr>
      <w:tr w14:paraId="0A406867">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5190DA11">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140A310">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98D15EF">
            <w:pPr>
              <w:jc w:val="center"/>
              <w:rPr>
                <w:sz w:val="18"/>
                <w:szCs w:val="18"/>
              </w:rPr>
            </w:pPr>
            <w:r>
              <w:rPr>
                <w:rFonts w:hint="eastAsia"/>
                <w:sz w:val="18"/>
                <w:szCs w:val="18"/>
              </w:rPr>
              <w:t>最小细分级数</w:t>
            </w:r>
          </w:p>
        </w:tc>
        <w:tc>
          <w:tcPr>
            <w:tcW w:w="1701" w:type="dxa"/>
            <w:tcBorders>
              <w:top w:val="nil"/>
              <w:left w:val="nil"/>
              <w:bottom w:val="single" w:color="auto" w:sz="4" w:space="0"/>
              <w:right w:val="single" w:color="auto" w:sz="4" w:space="0"/>
            </w:tcBorders>
            <w:shd w:val="clear" w:color="auto" w:fill="auto"/>
            <w:noWrap/>
            <w:vAlign w:val="center"/>
          </w:tcPr>
          <w:p w14:paraId="27CCCF92">
            <w:pPr>
              <w:jc w:val="center"/>
              <w:rPr>
                <w:sz w:val="18"/>
                <w:szCs w:val="18"/>
              </w:rPr>
            </w:pPr>
            <w:r>
              <w:t>1</w:t>
            </w:r>
          </w:p>
        </w:tc>
      </w:tr>
      <w:tr w14:paraId="7AEEC6D3">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64A96046">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2E7E39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4875518">
            <w:pPr>
              <w:jc w:val="center"/>
              <w:rPr>
                <w:sz w:val="18"/>
                <w:szCs w:val="18"/>
              </w:rPr>
            </w:pPr>
            <w:r>
              <w:rPr>
                <w:rFonts w:hint="eastAsia"/>
                <w:sz w:val="18"/>
                <w:szCs w:val="18"/>
              </w:rPr>
              <w:t>最大细分级数</w:t>
            </w:r>
          </w:p>
        </w:tc>
        <w:tc>
          <w:tcPr>
            <w:tcW w:w="1701" w:type="dxa"/>
            <w:tcBorders>
              <w:top w:val="nil"/>
              <w:left w:val="nil"/>
              <w:bottom w:val="single" w:color="auto" w:sz="4" w:space="0"/>
              <w:right w:val="single" w:color="auto" w:sz="4" w:space="0"/>
            </w:tcBorders>
            <w:shd w:val="clear" w:color="auto" w:fill="auto"/>
            <w:noWrap/>
            <w:vAlign w:val="center"/>
          </w:tcPr>
          <w:p w14:paraId="0DF9371A">
            <w:pPr>
              <w:jc w:val="center"/>
              <w:rPr>
                <w:sz w:val="18"/>
                <w:szCs w:val="18"/>
              </w:rPr>
            </w:pPr>
            <w:r>
              <w:t>2</w:t>
            </w:r>
          </w:p>
        </w:tc>
      </w:tr>
      <w:tr w14:paraId="70C04D9A">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5BFBA292">
            <w:pP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0088259">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03EF88A">
            <w:pPr>
              <w:jc w:val="center"/>
              <w:rPr>
                <w:sz w:val="18"/>
                <w:szCs w:val="18"/>
              </w:rPr>
            </w:pPr>
            <w:r>
              <w:rPr>
                <w:rFonts w:hint="eastAsia"/>
                <w:sz w:val="18"/>
                <w:szCs w:val="18"/>
              </w:rPr>
              <w:t>远场细分级数</w:t>
            </w:r>
          </w:p>
        </w:tc>
        <w:tc>
          <w:tcPr>
            <w:tcW w:w="1701" w:type="dxa"/>
            <w:tcBorders>
              <w:top w:val="nil"/>
              <w:left w:val="nil"/>
              <w:bottom w:val="single" w:color="auto" w:sz="4" w:space="0"/>
              <w:right w:val="single" w:color="auto" w:sz="4" w:space="0"/>
            </w:tcBorders>
            <w:shd w:val="clear" w:color="auto" w:fill="auto"/>
            <w:noWrap/>
            <w:vAlign w:val="center"/>
          </w:tcPr>
          <w:p w14:paraId="46B363D3">
            <w:pPr>
              <w:jc w:val="center"/>
              <w:rPr>
                <w:sz w:val="18"/>
                <w:szCs w:val="18"/>
              </w:rPr>
            </w:pPr>
            <w:r>
              <w:t>1</w:t>
            </w:r>
            <w:bookmarkEnd w:id="9"/>
          </w:p>
        </w:tc>
      </w:tr>
      <w:tr w14:paraId="33F2F573">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22A58629">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424B7D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B7B5FBB">
            <w:pPr>
              <w:jc w:val="center"/>
              <w:rPr>
                <w:sz w:val="18"/>
                <w:szCs w:val="18"/>
              </w:rPr>
            </w:pPr>
            <w:r>
              <w:rPr>
                <w:rFonts w:hint="eastAsia"/>
                <w:sz w:val="18"/>
                <w:szCs w:val="18"/>
              </w:rPr>
              <w:t>近场细分级数</w:t>
            </w:r>
          </w:p>
        </w:tc>
        <w:tc>
          <w:tcPr>
            <w:tcW w:w="1701" w:type="dxa"/>
            <w:tcBorders>
              <w:top w:val="nil"/>
              <w:left w:val="nil"/>
              <w:bottom w:val="single" w:color="auto" w:sz="4" w:space="0"/>
              <w:right w:val="single" w:color="auto" w:sz="4" w:space="0"/>
            </w:tcBorders>
            <w:shd w:val="clear" w:color="auto" w:fill="auto"/>
            <w:noWrap/>
            <w:vAlign w:val="center"/>
          </w:tcPr>
          <w:p w14:paraId="35FED14C">
            <w:pPr>
              <w:jc w:val="center"/>
              <w:rPr>
                <w:sz w:val="18"/>
                <w:szCs w:val="18"/>
              </w:rPr>
            </w:pPr>
            <w:r>
              <w:t>2</w:t>
            </w:r>
          </w:p>
        </w:tc>
      </w:tr>
      <w:tr w14:paraId="277BEB70">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14:paraId="1F13DBCE">
            <w:pP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1450A3A">
            <w:pPr>
              <w:jc w:val="center"/>
              <w:rPr>
                <w:sz w:val="18"/>
                <w:szCs w:val="18"/>
              </w:rPr>
            </w:pPr>
            <w:r>
              <w:rPr>
                <w:rFonts w:hint="eastAsia"/>
                <w:sz w:val="18"/>
                <w:szCs w:val="18"/>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ECB32BD">
            <w:pPr>
              <w:jc w:val="center"/>
              <w:rPr>
                <w:sz w:val="18"/>
                <w:szCs w:val="18"/>
              </w:rPr>
            </w:pPr>
            <w:r>
              <w:rPr>
                <w:rFonts w:hint="eastAsia"/>
                <w:sz w:val="18"/>
                <w:szCs w:val="18"/>
              </w:rPr>
              <w:t>地面附面层数</w:t>
            </w:r>
          </w:p>
        </w:tc>
        <w:tc>
          <w:tcPr>
            <w:tcW w:w="1701" w:type="dxa"/>
            <w:tcBorders>
              <w:top w:val="nil"/>
              <w:left w:val="nil"/>
              <w:bottom w:val="single" w:color="auto" w:sz="4" w:space="0"/>
              <w:right w:val="single" w:color="auto" w:sz="4" w:space="0"/>
            </w:tcBorders>
            <w:shd w:val="clear" w:color="auto" w:fill="auto"/>
            <w:noWrap/>
            <w:vAlign w:val="center"/>
          </w:tcPr>
          <w:p w14:paraId="0441D163">
            <w:pPr>
              <w:jc w:val="center"/>
              <w:rPr>
                <w:sz w:val="18"/>
                <w:szCs w:val="18"/>
              </w:rPr>
            </w:pPr>
            <w:r>
              <w:t>2</w:t>
            </w:r>
            <w:bookmarkEnd w:id="11"/>
          </w:p>
        </w:tc>
      </w:tr>
      <w:tr w14:paraId="62DC0A7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5FDFEC6">
            <w:pP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4EB0495">
            <w:pP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09006E0">
            <w:pPr>
              <w:jc w:val="center"/>
              <w:rPr>
                <w:sz w:val="18"/>
                <w:szCs w:val="18"/>
              </w:rPr>
            </w:pPr>
            <w:r>
              <w:rPr>
                <w:rFonts w:hint="eastAsia"/>
                <w:sz w:val="18"/>
                <w:szCs w:val="18"/>
              </w:rPr>
              <w:t>建筑附面层数</w:t>
            </w:r>
          </w:p>
        </w:tc>
        <w:tc>
          <w:tcPr>
            <w:tcW w:w="1701" w:type="dxa"/>
            <w:tcBorders>
              <w:top w:val="nil"/>
              <w:left w:val="nil"/>
              <w:bottom w:val="single" w:color="auto" w:sz="4" w:space="0"/>
              <w:right w:val="single" w:color="auto" w:sz="4" w:space="0"/>
            </w:tcBorders>
            <w:shd w:val="clear" w:color="auto" w:fill="auto"/>
            <w:noWrap/>
            <w:vAlign w:val="center"/>
          </w:tcPr>
          <w:p w14:paraId="710F3655">
            <w:pPr>
              <w:jc w:val="center"/>
              <w:rPr>
                <w:sz w:val="18"/>
                <w:szCs w:val="18"/>
              </w:rPr>
            </w:pPr>
            <w:r>
              <w:t>0</w:t>
            </w:r>
          </w:p>
        </w:tc>
      </w:tr>
    </w:tbl>
    <w:p w14:paraId="13A0A9ED">
      <w:pPr>
        <w:spacing w:line="400" w:lineRule="exact"/>
        <w:rPr>
          <w:sz w:val="18"/>
          <w:szCs w:val="18"/>
          <w:lang w:val="en-US"/>
        </w:rPr>
      </w:pPr>
    </w:p>
    <w:p w14:paraId="133F47DC">
      <w:pPr>
        <w:jc w:val="center"/>
      </w:pPr>
      <w:r>
        <w:drawing>
          <wp:inline distT="0" distB="0" distL="0" distR="0">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6"/>
                    <a:stretch>
                      <a:fillRect/>
                    </a:stretch>
                  </pic:blipFill>
                  <pic:spPr>
                    <a:xfrm>
                      <a:off x="0" y="0"/>
                      <a:ext cx="5667375" cy="3390900"/>
                    </a:xfrm>
                    <a:prstGeom prst="rect">
                      <a:avLst/>
                    </a:prstGeom>
                  </pic:spPr>
                </pic:pic>
              </a:graphicData>
            </a:graphic>
          </wp:inline>
        </w:drawing>
      </w:r>
    </w:p>
    <w:p w14:paraId="663D02CE">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7F8A8F34">
      <w:pPr>
        <w:pStyle w:val="3"/>
        <w:ind w:firstLine="630" w:firstLineChars="300"/>
        <w:rPr>
          <w:rFonts w:ascii="微软雅黑" w:hAnsi="微软雅黑" w:eastAsia="微软雅黑"/>
          <w:szCs w:val="20"/>
          <w:lang w:val="en-US"/>
        </w:rPr>
      </w:pPr>
      <w:bookmarkStart w:id="65" w:name="网格划分信息"/>
      <w:bookmarkEnd w:id="65"/>
      <w:r>
        <w:rPr>
          <w:rFonts w:hint="eastAsia" w:ascii="微软雅黑" w:hAnsi="微软雅黑" w:eastAsia="微软雅黑"/>
          <w:szCs w:val="20"/>
          <w:lang w:val="en-US"/>
        </w:rPr>
        <w:t>注：前述计算域随风向不同，所以相同的网格方案会产生不同的网格数量。</w:t>
      </w:r>
    </w:p>
    <w:p w14:paraId="32FE8188">
      <w:pPr>
        <w:pStyle w:val="3"/>
        <w:ind w:firstLine="0" w:firstLineChars="0"/>
        <w:rPr>
          <w:rFonts w:ascii="微软雅黑" w:hAnsi="微软雅黑" w:eastAsia="微软雅黑"/>
          <w:szCs w:val="20"/>
          <w:lang w:val="en-US"/>
        </w:rPr>
      </w:pPr>
    </w:p>
    <w:p w14:paraId="15368D4F">
      <w:pPr>
        <w:pStyle w:val="4"/>
        <w:numPr>
          <w:ilvl w:val="1"/>
          <w:numId w:val="3"/>
        </w:numPr>
      </w:pPr>
      <w:bookmarkStart w:id="66" w:name="_Toc509844742"/>
      <w:bookmarkStart w:id="67" w:name="_Toc28757"/>
      <w:r>
        <w:rPr>
          <w:rFonts w:hint="eastAsia"/>
        </w:rPr>
        <w:t>边界条件</w:t>
      </w:r>
      <w:bookmarkEnd w:id="66"/>
      <w:bookmarkEnd w:id="67"/>
    </w:p>
    <w:p w14:paraId="4BA53E6E">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2A2F1E99">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66F20372">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276C5352">
      <w:pPr>
        <w:pStyle w:val="5"/>
      </w:pPr>
      <w:bookmarkStart w:id="68" w:name="_Toc509844743"/>
      <w:r>
        <w:rPr>
          <w:rFonts w:hint="eastAsia"/>
        </w:rPr>
        <w:t>入口与出口边界条件</w:t>
      </w:r>
      <w:bookmarkEnd w:id="68"/>
    </w:p>
    <w:p w14:paraId="264ED3CB">
      <w:r>
        <w:rPr>
          <w:rFonts w:hint="eastAsia"/>
        </w:rPr>
        <w:t>1）入口风速梯度</w:t>
      </w:r>
    </w:p>
    <w:p w14:paraId="5C5E344E">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17B714C1">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0A6C357B">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3E97B675">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64BF9022">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13F3BAB3">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9" w:name="地面粗糙度指数2"/>
      <w:r>
        <w:rPr>
          <w:rFonts w:hint="eastAsia" w:ascii="微软雅黑" w:hAnsi="微软雅黑" w:eastAsia="微软雅黑"/>
          <w:lang w:val="en-US"/>
        </w:rPr>
        <w:t>0.28</w:t>
      </w:r>
      <w:bookmarkEnd w:id="69"/>
      <w:r>
        <w:rPr>
          <w:rFonts w:hint="eastAsia" w:ascii="微软雅黑" w:hAnsi="微软雅黑" w:eastAsia="微软雅黑"/>
          <w:lang w:val="en-US"/>
        </w:rPr>
        <w:t>；</w:t>
      </w:r>
    </w:p>
    <w:p w14:paraId="6F37A38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290E45C4">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724C3690">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413ACF51">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5909206D">
            <w:pPr>
              <w:pStyle w:val="59"/>
              <w:rPr>
                <w:b/>
              </w:rPr>
            </w:pPr>
            <w:r>
              <w:rPr>
                <w:rFonts w:hint="eastAsia"/>
                <w:b/>
              </w:rPr>
              <w:t>地面粗糙度指数</w:t>
            </w:r>
          </w:p>
        </w:tc>
      </w:tr>
      <w:tr w14:paraId="1E388288">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F5512B0">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2A40F380">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2E3BF3E6">
            <w:pPr>
              <w:pStyle w:val="59"/>
            </w:pPr>
            <w:r>
              <w:rPr>
                <w:rFonts w:hint="eastAsia"/>
              </w:rPr>
              <w:t>0.14</w:t>
            </w:r>
          </w:p>
        </w:tc>
      </w:tr>
      <w:tr w14:paraId="78605457">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4039D7FB">
            <w:pPr>
              <w:pStyle w:val="59"/>
              <w:rPr>
                <w:b/>
              </w:rPr>
            </w:pPr>
          </w:p>
        </w:tc>
        <w:tc>
          <w:tcPr>
            <w:tcW w:w="2948" w:type="dxa"/>
            <w:tcBorders>
              <w:top w:val="single" w:color="auto" w:sz="4" w:space="0"/>
              <w:left w:val="nil"/>
              <w:bottom w:val="single" w:color="auto" w:sz="4" w:space="0"/>
              <w:right w:val="single" w:color="auto" w:sz="4" w:space="0"/>
            </w:tcBorders>
            <w:vAlign w:val="center"/>
          </w:tcPr>
          <w:p w14:paraId="1D48AAF0">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261C2A05">
            <w:pPr>
              <w:pStyle w:val="59"/>
            </w:pPr>
            <w:r>
              <w:rPr>
                <w:rFonts w:hint="eastAsia"/>
              </w:rPr>
              <w:t>0.22</w:t>
            </w:r>
          </w:p>
        </w:tc>
      </w:tr>
      <w:tr w14:paraId="3DDC7BDC">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526486B2">
            <w:pPr>
              <w:pStyle w:val="59"/>
              <w:rPr>
                <w:b/>
              </w:rPr>
            </w:pPr>
          </w:p>
        </w:tc>
        <w:tc>
          <w:tcPr>
            <w:tcW w:w="2948" w:type="dxa"/>
            <w:tcBorders>
              <w:top w:val="single" w:color="auto" w:sz="4" w:space="0"/>
              <w:left w:val="nil"/>
              <w:bottom w:val="single" w:color="auto" w:sz="4" w:space="0"/>
              <w:right w:val="single" w:color="auto" w:sz="4" w:space="0"/>
            </w:tcBorders>
            <w:vAlign w:val="center"/>
          </w:tcPr>
          <w:p w14:paraId="7C1DBC4F">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6C7A982C">
            <w:pPr>
              <w:pStyle w:val="59"/>
            </w:pPr>
            <w:r>
              <w:rPr>
                <w:rFonts w:hint="eastAsia"/>
              </w:rPr>
              <w:t>0.28</w:t>
            </w:r>
          </w:p>
        </w:tc>
      </w:tr>
    </w:tbl>
    <w:p w14:paraId="1BFE0ECE">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7C71BF1B">
      <w:pPr>
        <w:spacing w:before="156" w:beforeLines="50"/>
      </w:pPr>
      <w:r>
        <w:t>2）出口边界</w:t>
      </w:r>
      <w:r>
        <w:rPr>
          <w:rFonts w:hint="eastAsia"/>
        </w:rPr>
        <w:t>条件</w:t>
      </w:r>
    </w:p>
    <w:p w14:paraId="563B2E44">
      <w:pPr>
        <w:spacing w:before="156" w:beforeLines="50"/>
        <w:ind w:firstLine="420"/>
      </w:pPr>
      <w:r>
        <w:rPr>
          <w:rFonts w:hint="eastAsia"/>
          <w:lang w:val="en-US"/>
        </w:rPr>
        <w:t>本项目采用自由出流作为出口边界条件。</w:t>
      </w:r>
    </w:p>
    <w:p w14:paraId="14CFF8E3">
      <w:pPr>
        <w:pStyle w:val="5"/>
      </w:pPr>
      <w:bookmarkStart w:id="70" w:name="_Toc509844744"/>
      <w:r>
        <w:rPr>
          <w:rFonts w:hint="eastAsia"/>
        </w:rPr>
        <w:t>壁面边界条件</w:t>
      </w:r>
      <w:bookmarkEnd w:id="70"/>
    </w:p>
    <w:p w14:paraId="2EABFA72">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066B4139">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6CDC9934">
      <w:pPr>
        <w:pStyle w:val="4"/>
        <w:numPr>
          <w:ilvl w:val="1"/>
          <w:numId w:val="3"/>
        </w:numPr>
      </w:pPr>
      <w:bookmarkStart w:id="71" w:name="_Toc17611"/>
      <w:r>
        <w:rPr>
          <w:rFonts w:hint="eastAsia"/>
        </w:rPr>
        <w:t>湍流模型</w:t>
      </w:r>
      <w:bookmarkEnd w:id="38"/>
      <w:bookmarkEnd w:id="39"/>
      <w:bookmarkEnd w:id="71"/>
    </w:p>
    <w:p w14:paraId="67213624">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4CBC4904">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13E17B73">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7E8FFFF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36AA4B35">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65120013">
            <w:pPr>
              <w:pStyle w:val="59"/>
            </w:pPr>
            <w:bookmarkStart w:id="72" w:name="_Toc452108767"/>
            <w:bookmarkStart w:id="73" w:name="_Toc451698939"/>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59F7F022">
            <w:pPr>
              <w:pStyle w:val="59"/>
            </w:pPr>
            <w:r>
              <w:rPr>
                <w:rFonts w:hint="eastAsia"/>
              </w:rPr>
              <w:t>特点和适用工况</w:t>
            </w:r>
          </w:p>
        </w:tc>
      </w:tr>
      <w:tr w14:paraId="5EAA898F">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14344C89">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10965A6F">
            <w:pPr>
              <w:pStyle w:val="59"/>
            </w:pPr>
            <w:r>
              <w:rPr>
                <w:rFonts w:hint="eastAsia"/>
              </w:rPr>
              <w:t>简单的工业流场和热交换模拟，无较大压力梯度、分离、强曲率流，适用于初始的参数研究</w:t>
            </w:r>
          </w:p>
        </w:tc>
      </w:tr>
      <w:tr w14:paraId="5326EACB">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125A5453">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DD69786">
            <w:pPr>
              <w:pStyle w:val="59"/>
            </w:pPr>
            <w:r>
              <w:rPr>
                <w:rFonts w:hint="eastAsia"/>
              </w:rPr>
              <w:t>适合包括快速应变的复杂剪切流、中等旋涡流动、局部转捩流如边界层分离、钝体尾迹涡、大角度失速、房间通风、室外空气流动</w:t>
            </w:r>
          </w:p>
        </w:tc>
      </w:tr>
      <w:tr w14:paraId="027C7E7C">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2970E9B2">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200765BE">
            <w:pPr>
              <w:pStyle w:val="59"/>
            </w:pPr>
            <w:r>
              <w:rPr>
                <w:rFonts w:hint="eastAsia"/>
              </w:rPr>
              <w:t>旋转流动、强逆压梯度的边界层流动、流动分离和二次流，类似于RNG</w:t>
            </w:r>
          </w:p>
        </w:tc>
      </w:tr>
    </w:tbl>
    <w:p w14:paraId="2D0F4BD8">
      <w:pPr>
        <w:pStyle w:val="4"/>
        <w:numPr>
          <w:ilvl w:val="1"/>
          <w:numId w:val="3"/>
        </w:numPr>
      </w:pPr>
      <w:bookmarkStart w:id="74" w:name="_Toc2024"/>
      <w:r>
        <w:rPr>
          <w:rFonts w:hint="eastAsia"/>
        </w:rPr>
        <w:t>求解计算</w:t>
      </w:r>
      <w:bookmarkEnd w:id="72"/>
      <w:bookmarkEnd w:id="73"/>
      <w:bookmarkEnd w:id="74"/>
    </w:p>
    <w:p w14:paraId="31E959C4">
      <w:pPr>
        <w:pStyle w:val="5"/>
      </w:pPr>
      <w:r>
        <w:rPr>
          <w:rFonts w:hint="eastAsia"/>
        </w:rPr>
        <w:t>数学模型</w:t>
      </w:r>
    </w:p>
    <w:p w14:paraId="0E67C561">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2E7EE446">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4382EB4">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9EA5E35">
      <w:pPr>
        <w:pStyle w:val="3"/>
        <w:ind w:firstLine="0" w:firstLineChars="0"/>
        <w:jc w:val="center"/>
        <w:rPr>
          <w:rFonts w:ascii="微软雅黑" w:hAnsi="微软雅黑" w:eastAsia="微软雅黑"/>
          <w:sz w:val="18"/>
          <w:szCs w:val="18"/>
        </w:rPr>
      </w:pPr>
      <w:bookmarkStart w:id="75"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5"/>
      <w:r>
        <w:rPr>
          <w:rFonts w:hint="eastAsia" w:ascii="微软雅黑" w:hAnsi="微软雅黑" w:eastAsia="微软雅黑"/>
          <w:sz w:val="18"/>
          <w:szCs w:val="18"/>
        </w:rPr>
        <w:t xml:space="preserve"> </w:t>
      </w:r>
      <w:bookmarkStart w:id="76" w:name="_Ref225175618"/>
      <w:r>
        <w:rPr>
          <w:rFonts w:hint="eastAsia" w:ascii="微软雅黑" w:hAnsi="微软雅黑" w:eastAsia="微软雅黑"/>
          <w:sz w:val="18"/>
          <w:szCs w:val="18"/>
        </w:rPr>
        <w:t>计算流体力学的控制方程</w:t>
      </w:r>
      <w:bookmarkEnd w:id="76"/>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7BE976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F20EA05">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57625F0C">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42F6FB13">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36761A56">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79F3DE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8C2F73A">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58BFF604">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3BCD822">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1D7176E0">
            <w:pPr>
              <w:widowControl w:val="0"/>
              <w:jc w:val="both"/>
              <w:rPr>
                <w:rFonts w:cs="Calibri"/>
                <w:kern w:val="2"/>
                <w:sz w:val="18"/>
                <w:szCs w:val="18"/>
              </w:rPr>
            </w:pPr>
            <w:r>
              <w:rPr>
                <w:sz w:val="18"/>
                <w:szCs w:val="18"/>
              </w:rPr>
              <w:t>0</w:t>
            </w:r>
          </w:p>
        </w:tc>
      </w:tr>
      <w:tr w14:paraId="6564F4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9B14A0D">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73AD87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2D5928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0FF2318">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CC26C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62827A2">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5D8A43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C466317">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586D38DF">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76E73F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3DA3388">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3F4CD65">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5B235E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25C552B">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67A70E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7DD7521">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CB89A6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F9D5DF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9E5026C">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0F8F3D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BAE31AA">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30CDBF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7E55C41">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5055B2E">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09ACEC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B3E9303">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4005BE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205F6E32">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75737989">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18AA636A">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21D59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C68532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656DFBF4">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7687EEA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3A2E6A59">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6090A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DFB6B2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20774B6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3D37D02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3611CD3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8639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3B931A4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1313A67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0BA61D94">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04549B7C">
            <w:pPr>
              <w:pStyle w:val="3"/>
              <w:spacing w:line="240" w:lineRule="atLeast"/>
              <w:ind w:firstLine="0" w:firstLineChars="0"/>
              <w:jc w:val="left"/>
              <w:rPr>
                <w:rFonts w:ascii="微软雅黑" w:hAnsi="微软雅黑" w:eastAsia="微软雅黑"/>
                <w:sz w:val="18"/>
                <w:szCs w:val="18"/>
                <w:lang w:val="en-US"/>
              </w:rPr>
            </w:pPr>
          </w:p>
        </w:tc>
      </w:tr>
      <w:tr w14:paraId="5FF02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3A03E22">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0A78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E756B2F">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F8B8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7B2A80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50A71BBC">
      <w:pPr>
        <w:pStyle w:val="3"/>
        <w:ind w:firstLine="525" w:firstLineChars="250"/>
        <w:rPr>
          <w:rFonts w:ascii="微软雅黑" w:hAnsi="微软雅黑" w:eastAsia="微软雅黑"/>
        </w:rPr>
      </w:pPr>
    </w:p>
    <w:p w14:paraId="3B0E6398">
      <w:pPr>
        <w:pStyle w:val="5"/>
      </w:pPr>
      <w:r>
        <w:rPr>
          <w:rFonts w:hint="eastAsia"/>
        </w:rPr>
        <w:t>算法说明</w:t>
      </w:r>
    </w:p>
    <w:p w14:paraId="6158D39F">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74740361">
      <w:pPr>
        <w:pStyle w:val="4"/>
      </w:pPr>
      <w:bookmarkStart w:id="77" w:name="_Toc509844747"/>
      <w:bookmarkStart w:id="78" w:name="_Toc1223"/>
      <w:r>
        <w:rPr>
          <w:rFonts w:hint="eastAsia"/>
        </w:rPr>
        <w:t>风速放大系数计算</w:t>
      </w:r>
      <w:bookmarkEnd w:id="77"/>
      <w:bookmarkEnd w:id="78"/>
    </w:p>
    <w:p w14:paraId="1807DF22">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220B4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08932456">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55719A86">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5A484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89D742D">
            <w:pPr>
              <w:spacing w:line="360" w:lineRule="exact"/>
              <w:rPr>
                <w:lang w:val="en-US"/>
              </w:rPr>
            </w:pPr>
          </w:p>
        </w:tc>
        <w:tc>
          <w:tcPr>
            <w:tcW w:w="1832" w:type="dxa"/>
            <w:vAlign w:val="center"/>
          </w:tcPr>
          <w:p w14:paraId="4B843B7D">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2B386E41">
      <w:pPr>
        <w:pStyle w:val="3"/>
        <w:ind w:firstLine="420"/>
        <w:rPr>
          <w:rFonts w:ascii="微软雅黑" w:hAnsi="微软雅黑" w:eastAsia="微软雅黑"/>
          <w:lang w:val="en-US"/>
        </w:rPr>
      </w:pPr>
      <w:r>
        <w:rPr>
          <w:rFonts w:hint="eastAsia" w:ascii="微软雅黑" w:hAnsi="微软雅黑" w:eastAsia="微软雅黑"/>
          <w:lang w:val="en-US"/>
        </w:rPr>
        <w:t>其中：</w:t>
      </w:r>
    </w:p>
    <w:p w14:paraId="0BA206A2">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2F022FAF">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4E0D7D3B">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46E75571">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4C695D11">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9" w:name="地面粗糙度指数"/>
      <w:r>
        <w:rPr>
          <w:rFonts w:hint="eastAsia" w:ascii="微软雅黑" w:hAnsi="微软雅黑" w:eastAsia="微软雅黑"/>
          <w:lang w:val="en-US"/>
        </w:rPr>
        <w:t>0.28</w:t>
      </w:r>
      <w:bookmarkEnd w:id="79"/>
      <w:r>
        <w:rPr>
          <w:rFonts w:hint="eastAsia" w:ascii="微软雅黑" w:hAnsi="微软雅黑" w:eastAsia="微软雅黑"/>
          <w:lang w:val="en-US"/>
        </w:rPr>
        <w:t>；</w:t>
      </w:r>
    </w:p>
    <w:p w14:paraId="0BA340F3"/>
    <w:p w14:paraId="451838BC">
      <w:pPr>
        <w:pStyle w:val="2"/>
      </w:pPr>
      <w:bookmarkStart w:id="80" w:name="_Toc452108768"/>
      <w:bookmarkStart w:id="81" w:name="_Toc25721"/>
      <w:r>
        <w:rPr>
          <w:rFonts w:hint="eastAsia"/>
        </w:rPr>
        <w:t>结果</w:t>
      </w:r>
      <w:r>
        <w:t>分析</w:t>
      </w:r>
      <w:bookmarkEnd w:id="80"/>
      <w:bookmarkEnd w:id="81"/>
    </w:p>
    <w:p w14:paraId="48B1BA22">
      <w:pPr>
        <w:pStyle w:val="4"/>
      </w:pPr>
      <w:bookmarkStart w:id="82" w:name="_Toc1957"/>
      <w:r>
        <w:rPr>
          <w:rFonts w:hint="eastAsia"/>
        </w:rPr>
        <w:t>工况</w:t>
      </w:r>
      <w:r>
        <w:t>表</w:t>
      </w:r>
      <w:bookmarkEnd w:id="82"/>
    </w:p>
    <w:p w14:paraId="6B06CAD7">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745E0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658" w:type="pct"/>
            <w:shd w:val="clear" w:color="auto" w:fill="E6E6E6"/>
            <w:vAlign w:val="center"/>
          </w:tcPr>
          <w:p w14:paraId="23764949">
            <w:pPr>
              <w:pStyle w:val="59"/>
            </w:pPr>
            <w:bookmarkStart w:id="83" w:name="计算工况表"/>
            <w:r>
              <w:rPr>
                <w:rFonts w:hint="eastAsia"/>
              </w:rPr>
              <w:t>序号</w:t>
            </w:r>
          </w:p>
        </w:tc>
        <w:tc>
          <w:tcPr>
            <w:tcW w:w="1166" w:type="pct"/>
            <w:shd w:val="clear" w:color="auto" w:fill="E6E6E6"/>
            <w:vAlign w:val="center"/>
          </w:tcPr>
          <w:p w14:paraId="48B02F10">
            <w:pPr>
              <w:pStyle w:val="59"/>
            </w:pPr>
            <w:r>
              <w:rPr>
                <w:rFonts w:hint="eastAsia"/>
              </w:rPr>
              <w:t>季节</w:t>
            </w:r>
          </w:p>
        </w:tc>
        <w:tc>
          <w:tcPr>
            <w:tcW w:w="1187" w:type="pct"/>
            <w:shd w:val="clear" w:color="auto" w:fill="E6E6E6"/>
            <w:vAlign w:val="center"/>
          </w:tcPr>
          <w:p w14:paraId="6D2CB763">
            <w:pPr>
              <w:pStyle w:val="59"/>
            </w:pPr>
            <w:r>
              <w:rPr>
                <w:rFonts w:hint="eastAsia"/>
              </w:rPr>
              <w:t>风速</w:t>
            </w:r>
            <w:r>
              <w:t>(m/s)</w:t>
            </w:r>
          </w:p>
        </w:tc>
        <w:tc>
          <w:tcPr>
            <w:tcW w:w="994" w:type="pct"/>
            <w:shd w:val="clear" w:color="auto" w:fill="E6E6E6"/>
            <w:vAlign w:val="center"/>
          </w:tcPr>
          <w:p w14:paraId="50656AE4">
            <w:pPr>
              <w:pStyle w:val="59"/>
            </w:pPr>
            <w:r>
              <w:rPr>
                <w:rFonts w:hint="eastAsia"/>
              </w:rPr>
              <w:t>风向</w:t>
            </w:r>
          </w:p>
        </w:tc>
        <w:tc>
          <w:tcPr>
            <w:tcW w:w="994" w:type="pct"/>
            <w:shd w:val="clear" w:color="auto" w:fill="E6E6E6"/>
            <w:vAlign w:val="center"/>
          </w:tcPr>
          <w:p w14:paraId="59557AD5">
            <w:pPr>
              <w:pStyle w:val="59"/>
            </w:pPr>
            <w:r>
              <w:rPr>
                <w:rFonts w:hint="eastAsia"/>
              </w:rPr>
              <w:t>风向（°</w:t>
            </w:r>
            <w:r>
              <w:t>）</w:t>
            </w:r>
          </w:p>
        </w:tc>
      </w:tr>
      <w:tr w14:paraId="731FA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3C011334">
            <w:pPr>
              <w:pStyle w:val="59"/>
            </w:pPr>
            <w:r>
              <w:t>1</w:t>
            </w:r>
          </w:p>
        </w:tc>
        <w:tc>
          <w:tcPr>
            <w:tcW w:w="1166" w:type="pct"/>
            <w:vAlign w:val="center"/>
          </w:tcPr>
          <w:p w14:paraId="69922531">
            <w:pPr>
              <w:pStyle w:val="59"/>
            </w:pPr>
            <w:r>
              <w:t>冬季</w:t>
            </w:r>
          </w:p>
        </w:tc>
        <w:tc>
          <w:tcPr>
            <w:tcW w:w="1187" w:type="pct"/>
            <w:vAlign w:val="center"/>
          </w:tcPr>
          <w:p w14:paraId="2EAE9B2E">
            <w:pPr>
              <w:pStyle w:val="59"/>
            </w:pPr>
            <w:r>
              <w:t>3.60</w:t>
            </w:r>
          </w:p>
        </w:tc>
        <w:tc>
          <w:tcPr>
            <w:tcW w:w="994" w:type="pct"/>
            <w:vAlign w:val="center"/>
          </w:tcPr>
          <w:p w14:paraId="51118405">
            <w:pPr>
              <w:pStyle w:val="59"/>
            </w:pPr>
            <w:r>
              <w:t>NE</w:t>
            </w:r>
          </w:p>
        </w:tc>
        <w:tc>
          <w:tcPr>
            <w:tcW w:w="994" w:type="pct"/>
            <w:vAlign w:val="center"/>
          </w:tcPr>
          <w:p w14:paraId="4A44EAC6">
            <w:pPr>
              <w:pStyle w:val="59"/>
            </w:pPr>
            <w:r>
              <w:t>45.0</w:t>
            </w:r>
          </w:p>
        </w:tc>
      </w:tr>
      <w:tr w14:paraId="41B28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4BDFFC47">
            <w:pPr>
              <w:pStyle w:val="59"/>
            </w:pPr>
            <w:r>
              <w:t>2</w:t>
            </w:r>
          </w:p>
        </w:tc>
        <w:tc>
          <w:tcPr>
            <w:tcW w:w="1166" w:type="pct"/>
            <w:vAlign w:val="center"/>
          </w:tcPr>
          <w:p w14:paraId="025CE023">
            <w:pPr>
              <w:pStyle w:val="59"/>
            </w:pPr>
            <w:r>
              <w:t>夏季</w:t>
            </w:r>
          </w:p>
        </w:tc>
        <w:tc>
          <w:tcPr>
            <w:tcW w:w="1187" w:type="pct"/>
            <w:vAlign w:val="center"/>
          </w:tcPr>
          <w:p w14:paraId="7C4E7B06">
            <w:pPr>
              <w:pStyle w:val="59"/>
            </w:pPr>
            <w:r>
              <w:t>3.10</w:t>
            </w:r>
          </w:p>
        </w:tc>
        <w:tc>
          <w:tcPr>
            <w:tcW w:w="994" w:type="pct"/>
            <w:vAlign w:val="center"/>
          </w:tcPr>
          <w:p w14:paraId="72C1BAA0">
            <w:pPr>
              <w:pStyle w:val="59"/>
            </w:pPr>
            <w:r>
              <w:t>WSW</w:t>
            </w:r>
          </w:p>
        </w:tc>
        <w:tc>
          <w:tcPr>
            <w:tcW w:w="994" w:type="pct"/>
            <w:vAlign w:val="center"/>
          </w:tcPr>
          <w:p w14:paraId="5FEA3319">
            <w:pPr>
              <w:pStyle w:val="59"/>
            </w:pPr>
            <w:r>
              <w:t>202.5</w:t>
            </w:r>
          </w:p>
        </w:tc>
      </w:tr>
      <w:tr w14:paraId="42767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4A6023BF">
            <w:pPr>
              <w:pStyle w:val="59"/>
            </w:pPr>
            <w:r>
              <w:t>3</w:t>
            </w:r>
          </w:p>
        </w:tc>
        <w:tc>
          <w:tcPr>
            <w:tcW w:w="1166" w:type="pct"/>
            <w:vAlign w:val="center"/>
          </w:tcPr>
          <w:p w14:paraId="61C0F8AA">
            <w:pPr>
              <w:pStyle w:val="59"/>
            </w:pPr>
            <w:r>
              <w:t>过渡季</w:t>
            </w:r>
          </w:p>
        </w:tc>
        <w:tc>
          <w:tcPr>
            <w:tcW w:w="1187" w:type="pct"/>
            <w:vAlign w:val="center"/>
          </w:tcPr>
          <w:p w14:paraId="27955BA7">
            <w:pPr>
              <w:pStyle w:val="59"/>
            </w:pPr>
            <w:r>
              <w:t>3.10</w:t>
            </w:r>
          </w:p>
        </w:tc>
        <w:tc>
          <w:tcPr>
            <w:tcW w:w="994" w:type="pct"/>
            <w:vAlign w:val="center"/>
          </w:tcPr>
          <w:p w14:paraId="5E57A097">
            <w:pPr>
              <w:pStyle w:val="59"/>
            </w:pPr>
            <w:r>
              <w:t>WSW</w:t>
            </w:r>
          </w:p>
        </w:tc>
        <w:tc>
          <w:tcPr>
            <w:tcW w:w="994" w:type="pct"/>
            <w:vAlign w:val="center"/>
          </w:tcPr>
          <w:p w14:paraId="0699F283">
            <w:pPr>
              <w:pStyle w:val="59"/>
            </w:pPr>
            <w:r>
              <w:t>202.5</w:t>
            </w:r>
          </w:p>
        </w:tc>
      </w:tr>
      <w:bookmarkEnd w:id="83"/>
    </w:tbl>
    <w:p w14:paraId="5B173F57">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164AEC0C">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23C1DD18">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63A0B73A">
      <w:pPr>
        <w:pStyle w:val="4"/>
      </w:pPr>
      <w:bookmarkStart w:id="84" w:name="_Toc509844750"/>
      <w:bookmarkStart w:id="85" w:name="_Toc18379"/>
      <w:r>
        <w:rPr>
          <w:rFonts w:hint="eastAsia"/>
        </w:rPr>
        <w:t>冬季工况</w:t>
      </w:r>
      <w:bookmarkEnd w:id="84"/>
      <w:bookmarkEnd w:id="85"/>
    </w:p>
    <w:p w14:paraId="78AC210E">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6" w:name="冬季入口边界风速"/>
      <w:r>
        <w:rPr>
          <w:rFonts w:hint="eastAsia" w:ascii="微软雅黑" w:hAnsi="微软雅黑" w:eastAsia="微软雅黑"/>
          <w:szCs w:val="21"/>
        </w:rPr>
        <w:t>3.60</w:t>
      </w:r>
      <w:bookmarkEnd w:id="86"/>
      <w:r>
        <w:rPr>
          <w:rFonts w:ascii="微软雅黑" w:hAnsi="微软雅黑" w:eastAsia="微软雅黑"/>
          <w:szCs w:val="21"/>
        </w:rPr>
        <w:t>m/s</w:t>
      </w:r>
      <w:r>
        <w:rPr>
          <w:rFonts w:hint="eastAsia" w:ascii="微软雅黑" w:hAnsi="微软雅黑" w:eastAsia="微软雅黑"/>
          <w:szCs w:val="21"/>
        </w:rPr>
        <w:t>，风向为</w:t>
      </w:r>
      <w:bookmarkStart w:id="87" w:name="冬季入口边界风向"/>
      <w:r>
        <w:rPr>
          <w:rFonts w:ascii="微软雅黑" w:hAnsi="微软雅黑" w:eastAsia="微软雅黑"/>
          <w:szCs w:val="21"/>
        </w:rPr>
        <w:t>NE</w:t>
      </w:r>
      <w:bookmarkEnd w:id="87"/>
      <w:r>
        <w:rPr>
          <w:rFonts w:hint="eastAsia" w:ascii="微软雅黑" w:hAnsi="微软雅黑" w:eastAsia="微软雅黑"/>
          <w:szCs w:val="21"/>
        </w:rPr>
        <w:t>。</w:t>
      </w:r>
    </w:p>
    <w:p w14:paraId="1E8B3D11">
      <w:pPr>
        <w:pStyle w:val="5"/>
      </w:pPr>
      <w:bookmarkStart w:id="88" w:name="_Toc509844751"/>
      <w:r>
        <w:rPr>
          <w:rFonts w:hint="eastAsia"/>
        </w:rPr>
        <w:t>人行区域风速达标分析</w:t>
      </w:r>
      <w:bookmarkEnd w:id="88"/>
      <w:r>
        <w:rPr>
          <w:rFonts w:hint="eastAsia"/>
        </w:rPr>
        <w:t xml:space="preserve"> </w:t>
      </w:r>
    </w:p>
    <w:p w14:paraId="56C19E73">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55C58A3C">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人行区风速分析结论"/>
      <w:bookmarkEnd w:id="89"/>
      <w:r>
        <w:rPr>
          <w:rFonts w:ascii="微软雅黑" w:hAnsi="微软雅黑" w:eastAsia="微软雅黑"/>
          <w:lang w:val="en-US"/>
        </w:rPr>
        <w:t>未标示出超标区域，可知人行区域风速为最大值为2.33m/s，小于5m/s，</w:t>
      </w:r>
      <w:r>
        <w:rPr>
          <w:rFonts w:ascii="微软雅黑" w:hAnsi="微软雅黑" w:eastAsia="微软雅黑"/>
          <w:color w:val="0000FF"/>
          <w:lang w:val="en-US"/>
        </w:rPr>
        <w:t>满足</w:t>
      </w:r>
      <w:r>
        <w:rPr>
          <w:rFonts w:ascii="微软雅黑" w:hAnsi="微软雅黑" w:eastAsia="微软雅黑"/>
          <w:lang w:val="en-US"/>
        </w:rPr>
        <w:t>绿标要求。</w:t>
      </w:r>
    </w:p>
    <w:p w14:paraId="436BFE43">
      <w:pPr>
        <w:pStyle w:val="3"/>
        <w:ind w:left="-6" w:leftChars="-3" w:firstLine="4" w:firstLineChars="2"/>
        <w:jc w:val="center"/>
        <w:rPr>
          <w:rFonts w:ascii="微软雅黑" w:hAnsi="微软雅黑" w:eastAsia="微软雅黑"/>
          <w:sz w:val="20"/>
          <w:szCs w:val="20"/>
        </w:rPr>
      </w:pPr>
      <w:bookmarkStart w:id="90" w:name="冬季工况人行区风速云图"/>
      <w:bookmarkEnd w:id="90"/>
      <w:r>
        <w:drawing>
          <wp:inline distT="0" distB="0" distL="0" distR="0">
            <wp:extent cx="5667375" cy="32480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3"/>
                    <a:stretch>
                      <a:fillRect/>
                    </a:stretch>
                  </pic:blipFill>
                  <pic:spPr>
                    <a:xfrm>
                      <a:off x="0" y="0"/>
                      <a:ext cx="5667375" cy="3248025"/>
                    </a:xfrm>
                    <a:prstGeom prst="rect">
                      <a:avLst/>
                    </a:prstGeom>
                  </pic:spPr>
                </pic:pic>
              </a:graphicData>
            </a:graphic>
          </wp:inline>
        </w:drawing>
      </w:r>
    </w:p>
    <w:p w14:paraId="5767AFC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2F1CB4D7">
      <w:pPr>
        <w:pStyle w:val="3"/>
        <w:ind w:firstLine="420"/>
        <w:rPr>
          <w:rFonts w:ascii="微软雅黑" w:hAnsi="微软雅黑" w:eastAsia="微软雅黑"/>
          <w:lang w:val="en-US"/>
        </w:rPr>
      </w:pPr>
    </w:p>
    <w:p w14:paraId="2244AAB3">
      <w:pPr>
        <w:pStyle w:val="5"/>
      </w:pPr>
      <w:bookmarkStart w:id="91" w:name="_Toc509844752"/>
      <w:r>
        <w:rPr>
          <w:rFonts w:hint="eastAsia"/>
        </w:rPr>
        <w:t>人行区域风速放大系数达标分析</w:t>
      </w:r>
      <w:bookmarkEnd w:id="91"/>
    </w:p>
    <w:p w14:paraId="2E5779EC">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2" w:name="冬季工况人行区风速放大系数分析结论"/>
      <w:bookmarkEnd w:id="92"/>
      <w:r>
        <w:rPr>
          <w:rFonts w:ascii="微软雅黑" w:hAnsi="微软雅黑" w:eastAsia="微软雅黑"/>
          <w:lang w:val="en-US"/>
        </w:rPr>
        <w:t>图中未标示出风速放大系数超标区域，因此可知人行区域风速放大系数最大值为1.10，小于2，</w:t>
      </w:r>
      <w:r>
        <w:rPr>
          <w:rFonts w:ascii="微软雅黑" w:hAnsi="微软雅黑" w:eastAsia="微软雅黑"/>
          <w:color w:val="0000FF"/>
          <w:lang w:val="en-US"/>
        </w:rPr>
        <w:t>满足</w:t>
      </w:r>
      <w:r>
        <w:rPr>
          <w:rFonts w:ascii="微软雅黑" w:hAnsi="微软雅黑" w:eastAsia="微软雅黑"/>
          <w:lang w:val="en-US"/>
        </w:rPr>
        <w:t>绿标要求。</w:t>
      </w:r>
    </w:p>
    <w:p w14:paraId="6DD872F5">
      <w:pPr>
        <w:jc w:val="center"/>
        <w:rPr>
          <w:rFonts w:ascii="微软雅黑" w:hAnsi="微软雅黑" w:eastAsia="微软雅黑"/>
        </w:rPr>
      </w:pPr>
      <w:bookmarkStart w:id="93" w:name="冬季工况人行区风速放大系数云图"/>
      <w:bookmarkEnd w:id="93"/>
      <w:r>
        <w:drawing>
          <wp:inline distT="0" distB="0" distL="0" distR="0">
            <wp:extent cx="5667375" cy="32480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248025"/>
                    </a:xfrm>
                    <a:prstGeom prst="rect">
                      <a:avLst/>
                    </a:prstGeom>
                  </pic:spPr>
                </pic:pic>
              </a:graphicData>
            </a:graphic>
          </wp:inline>
        </w:drawing>
      </w:r>
    </w:p>
    <w:p w14:paraId="50AAED85">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3A37ABB8">
      <w:pPr>
        <w:pStyle w:val="3"/>
        <w:ind w:firstLine="420"/>
        <w:rPr>
          <w:rFonts w:ascii="微软雅黑" w:hAnsi="微软雅黑" w:eastAsia="微软雅黑"/>
          <w:lang w:val="en-US"/>
        </w:rPr>
      </w:pPr>
    </w:p>
    <w:p w14:paraId="1DBAFC2F">
      <w:pPr>
        <w:pStyle w:val="5"/>
      </w:pPr>
      <w:r>
        <w:rPr>
          <w:rFonts w:hint="eastAsia"/>
        </w:rPr>
        <w:t>户外休息区、儿童娱乐区</w:t>
      </w:r>
      <w:r>
        <w:t>域风速达标分析</w:t>
      </w:r>
    </w:p>
    <w:p w14:paraId="559CC09D">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0385E15E">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94" w:name="冬季工况休息区风速分析结论"/>
      <w:bookmarkEnd w:id="94"/>
      <w:r>
        <w:rPr>
          <w:rFonts w:ascii="微软雅黑" w:hAnsi="微软雅黑" w:eastAsia="微软雅黑"/>
          <w:lang w:val="en-US"/>
        </w:rPr>
        <w:t>未标示出超标区域，可知户外休息区、儿童娱乐区风速最大值为1.85m/s，小于2m/s，</w:t>
      </w:r>
      <w:r>
        <w:rPr>
          <w:rFonts w:ascii="微软雅黑" w:hAnsi="微软雅黑" w:eastAsia="微软雅黑"/>
          <w:color w:val="0000FF"/>
          <w:lang w:val="en-US"/>
        </w:rPr>
        <w:t>满足</w:t>
      </w:r>
      <w:r>
        <w:rPr>
          <w:rFonts w:ascii="微软雅黑" w:hAnsi="微软雅黑" w:eastAsia="微软雅黑"/>
          <w:lang w:val="en-US"/>
        </w:rPr>
        <w:t>绿标要求。</w:t>
      </w:r>
    </w:p>
    <w:p w14:paraId="40EC52C0">
      <w:pPr>
        <w:pStyle w:val="3"/>
        <w:ind w:left="-6" w:leftChars="-3" w:firstLine="4" w:firstLineChars="2"/>
        <w:jc w:val="center"/>
        <w:rPr>
          <w:rFonts w:ascii="微软雅黑" w:hAnsi="微软雅黑" w:eastAsia="微软雅黑"/>
          <w:sz w:val="20"/>
          <w:szCs w:val="20"/>
        </w:rPr>
      </w:pPr>
      <w:bookmarkStart w:id="95" w:name="冬季工况休息区风速云图"/>
      <w:bookmarkEnd w:id="95"/>
      <w:r>
        <w:drawing>
          <wp:inline distT="0" distB="0" distL="0" distR="0">
            <wp:extent cx="5667375" cy="32480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5"/>
                    <a:stretch>
                      <a:fillRect/>
                    </a:stretch>
                  </pic:blipFill>
                  <pic:spPr>
                    <a:xfrm>
                      <a:off x="0" y="0"/>
                      <a:ext cx="5667375" cy="3248025"/>
                    </a:xfrm>
                    <a:prstGeom prst="rect">
                      <a:avLst/>
                    </a:prstGeom>
                  </pic:spPr>
                </pic:pic>
              </a:graphicData>
            </a:graphic>
          </wp:inline>
        </w:drawing>
      </w:r>
    </w:p>
    <w:p w14:paraId="60458BA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13E8E36A">
      <w:pPr>
        <w:pStyle w:val="5"/>
      </w:pPr>
      <w:r>
        <w:rPr>
          <w:rFonts w:hint="eastAsia"/>
        </w:rPr>
        <w:t>户外休息区、儿童娱乐区风速放大系数达标</w:t>
      </w:r>
      <w:r>
        <w:t>分析</w:t>
      </w:r>
    </w:p>
    <w:p w14:paraId="698BB4B5">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6" w:name="冬季工况户外休息区和儿童娱乐区风速放大系数分析结论"/>
      <w:bookmarkEnd w:id="96"/>
      <w:r>
        <w:rPr>
          <w:lang w:val="en-US"/>
        </w:rPr>
        <w:t>区域内风速放大系数最大值为0.96，</w:t>
      </w:r>
      <w:r>
        <w:rPr>
          <w:color w:val="0000FF"/>
          <w:lang w:val="en-US"/>
        </w:rPr>
        <w:t>没有</w:t>
      </w:r>
      <w:r>
        <w:rPr>
          <w:lang w:val="en-US"/>
        </w:rPr>
        <w:t>风速放大系数超限区域，</w:t>
      </w:r>
      <w:r>
        <w:rPr>
          <w:color w:val="0000FF"/>
          <w:lang w:val="en-US"/>
        </w:rPr>
        <w:t>满足</w:t>
      </w:r>
      <w:r>
        <w:rPr>
          <w:lang w:val="en-US"/>
        </w:rPr>
        <w:t>标准要求。</w:t>
      </w:r>
    </w:p>
    <w:p w14:paraId="0722E4AD">
      <w:pPr>
        <w:jc w:val="center"/>
        <w:rPr>
          <w:rFonts w:ascii="微软雅黑" w:hAnsi="微软雅黑" w:eastAsia="微软雅黑"/>
        </w:rPr>
      </w:pPr>
      <w:bookmarkStart w:id="97" w:name="冬季工况户外休息区和儿童娱乐区风速放大系数云图"/>
      <w:bookmarkEnd w:id="97"/>
      <w:r>
        <w:drawing>
          <wp:inline distT="0" distB="0" distL="0" distR="0">
            <wp:extent cx="5667375" cy="32480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248025"/>
                    </a:xfrm>
                    <a:prstGeom prst="rect">
                      <a:avLst/>
                    </a:prstGeom>
                  </pic:spPr>
                </pic:pic>
              </a:graphicData>
            </a:graphic>
          </wp:inline>
        </w:drawing>
      </w:r>
    </w:p>
    <w:p w14:paraId="3E243FF7">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64D46ACC">
      <w:pPr>
        <w:pStyle w:val="3"/>
        <w:ind w:firstLine="420"/>
        <w:rPr>
          <w:rFonts w:ascii="微软雅黑" w:hAnsi="微软雅黑" w:eastAsia="微软雅黑"/>
          <w:lang w:val="en-US"/>
        </w:rPr>
      </w:pPr>
    </w:p>
    <w:p w14:paraId="27AA7B62">
      <w:pPr>
        <w:pStyle w:val="37"/>
        <w:spacing w:line="440" w:lineRule="exact"/>
        <w:ind w:firstLine="420"/>
        <w:rPr>
          <w:szCs w:val="21"/>
        </w:rPr>
      </w:pPr>
      <w:r>
        <w:rPr>
          <w:rFonts w:hint="eastAsia"/>
          <w:szCs w:val="21"/>
        </w:rPr>
        <w:t>注：</w:t>
      </w:r>
    </w:p>
    <w:p w14:paraId="1A142DF8">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763E72D7">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44AA3E3E">
      <w:pPr>
        <w:pStyle w:val="37"/>
        <w:spacing w:line="440" w:lineRule="exact"/>
        <w:ind w:firstLine="420"/>
        <w:rPr>
          <w:szCs w:val="21"/>
        </w:rPr>
      </w:pPr>
      <w:r>
        <w:rPr>
          <w:rFonts w:hint="eastAsia"/>
          <w:szCs w:val="21"/>
        </w:rPr>
        <w:t>3）通常将1.5米作为一般人群的参考行走高度，也可酌情调整人行走高度。</w:t>
      </w:r>
    </w:p>
    <w:p w14:paraId="7183928A">
      <w:pPr>
        <w:pStyle w:val="3"/>
        <w:ind w:firstLine="420"/>
        <w:rPr>
          <w:rFonts w:ascii="微软雅黑" w:hAnsi="微软雅黑" w:eastAsia="微软雅黑"/>
          <w:lang w:val="en-US"/>
        </w:rPr>
      </w:pPr>
    </w:p>
    <w:p w14:paraId="1421800A">
      <w:pPr>
        <w:pStyle w:val="5"/>
      </w:pPr>
      <w:bookmarkStart w:id="98" w:name="_Toc509844753"/>
      <w:r>
        <w:rPr>
          <w:rFonts w:hint="eastAsia"/>
        </w:rPr>
        <w:t>冬季工况风速/风速放大系数达标</w:t>
      </w:r>
      <w:bookmarkEnd w:id="98"/>
      <w:r>
        <w:rPr>
          <w:rFonts w:hint="eastAsia"/>
        </w:rPr>
        <w:t>结果汇总</w:t>
      </w:r>
    </w:p>
    <w:p w14:paraId="3A2A1604">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61E98AD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7F9929E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375A665F">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0052D3E1">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2ED09B3C">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4ADADBF9">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1C83C559">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4F57C730">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25702E10">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3F750CFC">
            <w:pPr>
              <w:spacing w:line="240" w:lineRule="auto"/>
              <w:jc w:val="center"/>
              <w:rPr>
                <w:rFonts w:ascii="微软雅黑" w:hAnsi="微软雅黑" w:eastAsia="微软雅黑" w:cs="宋体"/>
                <w:color w:val="000000"/>
                <w:sz w:val="18"/>
                <w:szCs w:val="18"/>
                <w:lang w:val="en-US"/>
              </w:rPr>
            </w:pPr>
            <w:bookmarkStart w:id="99" w:name="冬季工况风速是否有超限区域"/>
            <w:r>
              <w:rPr>
                <w:rFonts w:hint="eastAsia" w:ascii="微软雅黑" w:hAnsi="微软雅黑" w:eastAsia="微软雅黑" w:cs="宋体"/>
                <w:color w:val="000000"/>
                <w:sz w:val="18"/>
                <w:szCs w:val="18"/>
                <w:lang w:val="en-US"/>
              </w:rPr>
              <w:t>否</w:t>
            </w:r>
            <w:bookmarkEnd w:id="99"/>
          </w:p>
        </w:tc>
        <w:tc>
          <w:tcPr>
            <w:tcW w:w="1275" w:type="dxa"/>
            <w:tcBorders>
              <w:top w:val="nil"/>
              <w:left w:val="nil"/>
              <w:bottom w:val="single" w:color="auto" w:sz="4" w:space="0"/>
              <w:right w:val="single" w:color="auto" w:sz="4" w:space="0"/>
            </w:tcBorders>
            <w:shd w:val="clear" w:color="auto" w:fill="auto"/>
            <w:noWrap/>
            <w:vAlign w:val="center"/>
          </w:tcPr>
          <w:p w14:paraId="509DD68A">
            <w:pPr>
              <w:spacing w:line="240" w:lineRule="auto"/>
              <w:jc w:val="center"/>
              <w:rPr>
                <w:rFonts w:ascii="微软雅黑" w:hAnsi="微软雅黑" w:eastAsia="微软雅黑" w:cs="宋体"/>
                <w:color w:val="000000"/>
                <w:sz w:val="18"/>
                <w:szCs w:val="18"/>
                <w:lang w:val="en-US"/>
              </w:rPr>
            </w:pPr>
            <w:bookmarkStart w:id="100" w:name="冬季工况风速达标判断"/>
            <w:r>
              <w:rPr>
                <w:rFonts w:hint="eastAsia" w:ascii="微软雅黑" w:hAnsi="微软雅黑" w:eastAsia="微软雅黑" w:cs="宋体"/>
                <w:color w:val="000000"/>
                <w:sz w:val="18"/>
                <w:szCs w:val="18"/>
                <w:lang w:val="en-US"/>
              </w:rPr>
              <w:t>是</w:t>
            </w:r>
            <w:bookmarkEnd w:id="100"/>
          </w:p>
        </w:tc>
      </w:tr>
      <w:tr w14:paraId="6005A2AD">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E9C0427">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BB37634">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4DC64C7">
            <w:pPr>
              <w:spacing w:line="240" w:lineRule="auto"/>
              <w:jc w:val="center"/>
              <w:rPr>
                <w:rFonts w:ascii="微软雅黑" w:hAnsi="微软雅黑" w:eastAsia="微软雅黑" w:cs="宋体"/>
                <w:color w:val="000000"/>
                <w:sz w:val="18"/>
                <w:szCs w:val="18"/>
                <w:lang w:val="en-US"/>
              </w:rPr>
            </w:pPr>
            <w:bookmarkStart w:id="101" w:name="冬季工况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92D8F2F">
            <w:pPr>
              <w:spacing w:line="240" w:lineRule="auto"/>
              <w:jc w:val="center"/>
              <w:rPr>
                <w:rFonts w:ascii="微软雅黑" w:hAnsi="微软雅黑" w:eastAsia="微软雅黑" w:cs="宋体"/>
                <w:color w:val="000000"/>
                <w:sz w:val="18"/>
                <w:szCs w:val="18"/>
                <w:lang w:val="en-US"/>
              </w:rPr>
            </w:pPr>
            <w:bookmarkStart w:id="102" w:name="冬季工况风速放大系数达标判断"/>
            <w:r>
              <w:rPr>
                <w:rFonts w:hint="eastAsia" w:ascii="微软雅黑" w:hAnsi="微软雅黑" w:eastAsia="微软雅黑" w:cs="宋体"/>
                <w:color w:val="000000"/>
                <w:sz w:val="18"/>
                <w:szCs w:val="18"/>
                <w:lang w:val="en-US"/>
              </w:rPr>
              <w:t>是</w:t>
            </w:r>
            <w:bookmarkEnd w:id="102"/>
          </w:p>
        </w:tc>
      </w:tr>
      <w:tr w14:paraId="5201AA0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4F5B20">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4A4443B8">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2942CE2">
            <w:pPr>
              <w:spacing w:line="240" w:lineRule="auto"/>
              <w:jc w:val="center"/>
              <w:rPr>
                <w:rFonts w:ascii="微软雅黑" w:hAnsi="微软雅黑" w:eastAsia="微软雅黑" w:cs="宋体"/>
                <w:color w:val="000000"/>
                <w:sz w:val="18"/>
                <w:szCs w:val="18"/>
                <w:lang w:val="en-US"/>
              </w:rPr>
            </w:pPr>
            <w:bookmarkStart w:id="103" w:name="冬季工况休息区风速是否有超限区域"/>
            <w:r>
              <w:rPr>
                <w:rFonts w:hint="eastAsia" w:ascii="微软雅黑" w:hAnsi="微软雅黑" w:eastAsia="微软雅黑" w:cs="宋体"/>
                <w:color w:val="000000"/>
                <w:sz w:val="18"/>
                <w:szCs w:val="18"/>
                <w:lang w:val="en-US"/>
              </w:rPr>
              <w:t>否</w:t>
            </w:r>
            <w:bookmarkEnd w:id="103"/>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9B8FDE8">
            <w:pPr>
              <w:spacing w:line="240" w:lineRule="auto"/>
              <w:jc w:val="center"/>
              <w:rPr>
                <w:rFonts w:ascii="微软雅黑" w:hAnsi="微软雅黑" w:eastAsia="微软雅黑" w:cs="宋体"/>
                <w:color w:val="000000"/>
                <w:sz w:val="18"/>
                <w:szCs w:val="18"/>
                <w:lang w:val="en-US"/>
              </w:rPr>
            </w:pPr>
            <w:bookmarkStart w:id="104" w:name="冬季工况休息区风速达标判断"/>
            <w:r>
              <w:rPr>
                <w:rFonts w:hint="eastAsia" w:ascii="微软雅黑" w:hAnsi="微软雅黑" w:eastAsia="微软雅黑" w:cs="宋体"/>
                <w:color w:val="000000"/>
                <w:sz w:val="18"/>
                <w:szCs w:val="18"/>
                <w:lang w:val="en-US"/>
              </w:rPr>
              <w:t>是</w:t>
            </w:r>
            <w:bookmarkEnd w:id="104"/>
          </w:p>
        </w:tc>
      </w:tr>
      <w:tr w14:paraId="190359C8">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547034">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3216C35">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5" w:name="冬季工况休息区和儿童娱乐区风速放大系数标准要求限值"/>
            <w:r>
              <w:rPr>
                <w:rFonts w:ascii="微软雅黑" w:hAnsi="微软雅黑" w:eastAsia="微软雅黑" w:cs="宋体"/>
                <w:sz w:val="18"/>
                <w:szCs w:val="18"/>
              </w:rPr>
              <w:t>2</w:t>
            </w:r>
            <w:bookmarkEnd w:id="105"/>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C51B9EF">
            <w:pPr>
              <w:spacing w:line="240" w:lineRule="auto"/>
              <w:jc w:val="center"/>
              <w:rPr>
                <w:rFonts w:ascii="微软雅黑" w:hAnsi="微软雅黑" w:eastAsia="微软雅黑" w:cs="宋体"/>
                <w:color w:val="000000"/>
                <w:sz w:val="18"/>
                <w:szCs w:val="18"/>
                <w:lang w:val="en-US"/>
              </w:rPr>
            </w:pPr>
            <w:bookmarkStart w:id="106" w:name="冬季工况户外休息区风速放大系数是否有超限区域"/>
            <w:r>
              <w:rPr>
                <w:rFonts w:hint="eastAsia" w:ascii="微软雅黑" w:hAnsi="微软雅黑" w:eastAsia="微软雅黑" w:cs="宋体"/>
                <w:color w:val="000000"/>
                <w:sz w:val="18"/>
                <w:szCs w:val="18"/>
                <w:lang w:val="en-US"/>
              </w:rPr>
              <w:t>否</w:t>
            </w:r>
            <w:bookmarkEnd w:id="10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3C8B383">
            <w:pPr>
              <w:spacing w:line="240" w:lineRule="auto"/>
              <w:jc w:val="center"/>
              <w:rPr>
                <w:rFonts w:ascii="微软雅黑" w:hAnsi="微软雅黑" w:eastAsia="微软雅黑" w:cs="宋体"/>
                <w:color w:val="000000"/>
                <w:sz w:val="18"/>
                <w:szCs w:val="18"/>
                <w:lang w:val="en-US"/>
              </w:rPr>
            </w:pPr>
            <w:bookmarkStart w:id="107" w:name="冬季工况户外休息区风速放大系数达标判断"/>
            <w:r>
              <w:rPr>
                <w:rFonts w:hint="eastAsia" w:ascii="微软雅黑" w:hAnsi="微软雅黑" w:eastAsia="微软雅黑" w:cs="宋体"/>
                <w:color w:val="000000"/>
                <w:sz w:val="18"/>
                <w:szCs w:val="18"/>
                <w:lang w:val="en-US"/>
              </w:rPr>
              <w:t>是</w:t>
            </w:r>
            <w:bookmarkEnd w:id="107"/>
          </w:p>
        </w:tc>
      </w:tr>
    </w:tbl>
    <w:p w14:paraId="6FDB89D6">
      <w:pPr>
        <w:rPr>
          <w:rFonts w:ascii="微软雅黑" w:hAnsi="微软雅黑" w:eastAsia="微软雅黑"/>
        </w:rPr>
      </w:pPr>
    </w:p>
    <w:p w14:paraId="4FEAC6E7">
      <w:pPr>
        <w:pStyle w:val="5"/>
      </w:pPr>
      <w:r>
        <w:rPr>
          <w:rFonts w:hint="eastAsia"/>
        </w:rPr>
        <w:t>建筑迎风面和背风面风压分析</w:t>
      </w:r>
    </w:p>
    <w:p w14:paraId="66EE5068">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00BA6F27">
      <w:pPr>
        <w:pStyle w:val="6"/>
        <w:rPr>
          <w:lang w:val="en-US"/>
        </w:rPr>
      </w:pPr>
      <w:r>
        <w:rPr>
          <w:rFonts w:hint="eastAsia"/>
          <w:lang w:val="en-US"/>
        </w:rPr>
        <w:t>建筑迎风面和背风面风压差计算方法</w:t>
      </w:r>
    </w:p>
    <w:p w14:paraId="4AF6358C">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626C8DF8">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7">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00E35C8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796DA229">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023B9524">
        <w:tblPrEx>
          <w:tblCellMar>
            <w:top w:w="0" w:type="dxa"/>
            <w:left w:w="108" w:type="dxa"/>
            <w:bottom w:w="0" w:type="dxa"/>
            <w:right w:w="108" w:type="dxa"/>
          </w:tblCellMar>
        </w:tblPrEx>
        <w:tc>
          <w:tcPr>
            <w:tcW w:w="6658" w:type="dxa"/>
            <w:shd w:val="clear" w:color="auto" w:fill="auto"/>
          </w:tcPr>
          <w:p w14:paraId="7E90E842">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411E454E">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0E099234">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406A0895">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B57DF93">
      <w:pPr>
        <w:pStyle w:val="6"/>
      </w:pPr>
      <w:r>
        <w:rPr>
          <w:rFonts w:hint="eastAsia"/>
        </w:rPr>
        <w:t>建筑迎风面和背风面风压云图</w:t>
      </w:r>
    </w:p>
    <w:p w14:paraId="573617F9">
      <w:pPr>
        <w:jc w:val="center"/>
        <w:rPr>
          <w:rFonts w:ascii="微软雅黑" w:hAnsi="微软雅黑" w:eastAsia="微软雅黑"/>
          <w:lang w:val="en-US"/>
        </w:rPr>
      </w:pPr>
      <w:bookmarkStart w:id="108" w:name="冬季工况建筑迎风面风压云图"/>
      <w:bookmarkEnd w:id="108"/>
      <w:r>
        <w:drawing>
          <wp:inline distT="0" distB="0" distL="0" distR="0">
            <wp:extent cx="5667375" cy="33528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352800"/>
                    </a:xfrm>
                    <a:prstGeom prst="rect">
                      <a:avLst/>
                    </a:prstGeom>
                  </pic:spPr>
                </pic:pic>
              </a:graphicData>
            </a:graphic>
          </wp:inline>
        </w:drawing>
      </w:r>
    </w:p>
    <w:p w14:paraId="3CD7387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3F022123">
      <w:pPr>
        <w:jc w:val="center"/>
        <w:rPr>
          <w:rFonts w:ascii="微软雅黑" w:hAnsi="微软雅黑" w:eastAsia="微软雅黑"/>
        </w:rPr>
      </w:pPr>
      <w:bookmarkStart w:id="109" w:name="冬季工况建筑背风面风压云图"/>
      <w:bookmarkEnd w:id="109"/>
      <w:r>
        <w:drawing>
          <wp:inline distT="0" distB="0" distL="0" distR="0">
            <wp:extent cx="5667375" cy="33623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362325"/>
                    </a:xfrm>
                    <a:prstGeom prst="rect">
                      <a:avLst/>
                    </a:prstGeom>
                  </pic:spPr>
                </pic:pic>
              </a:graphicData>
            </a:graphic>
          </wp:inline>
        </w:drawing>
      </w:r>
    </w:p>
    <w:p w14:paraId="0E08799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4FC5DA88">
      <w:pPr>
        <w:jc w:val="center"/>
        <w:rPr>
          <w:rFonts w:ascii="微软雅黑" w:hAnsi="微软雅黑" w:eastAsia="微软雅黑"/>
          <w:sz w:val="20"/>
        </w:rPr>
      </w:pPr>
      <w:bookmarkStart w:id="110" w:name="建筑迎背风面风压差表_新增"/>
      <w:bookmarkEnd w:id="110"/>
      <w:bookmarkStart w:id="111" w:name="建筑迎背风面风压差表"/>
    </w:p>
    <w:bookmarkEnd w:id="111"/>
    <w:p w14:paraId="7083591D">
      <w:pPr>
        <w:pStyle w:val="6"/>
      </w:pPr>
      <w:r>
        <w:rPr>
          <w:rFonts w:hint="eastAsia"/>
        </w:rPr>
        <w:t>建筑迎风和背风面风压差结论汇总</w:t>
      </w:r>
    </w:p>
    <w:p w14:paraId="6062DEBB">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64C02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77B7F02A">
            <w:pPr>
              <w:jc w:val="center"/>
              <w:rPr>
                <w:rFonts w:ascii="微软雅黑" w:hAnsi="微软雅黑" w:eastAsia="微软雅黑"/>
                <w:sz w:val="18"/>
                <w:szCs w:val="18"/>
                <w:lang w:val="en-US"/>
              </w:rPr>
            </w:pPr>
            <w:bookmarkStart w:id="112"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60B2D91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7443ADC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273C8E1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7BCE157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62250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358CEBD">
            <w:pPr>
              <w:jc w:val="center"/>
              <w:rPr>
                <w:rFonts w:ascii="微软雅黑" w:hAnsi="微软雅黑" w:eastAsia="微软雅黑"/>
                <w:sz w:val="18"/>
                <w:szCs w:val="18"/>
                <w:lang w:val="en-US"/>
              </w:rPr>
            </w:pPr>
            <w:r>
              <w:rPr>
                <w:rFonts w:ascii="微软雅黑" w:hAnsi="微软雅黑" w:eastAsia="微软雅黑"/>
                <w:sz w:val="18"/>
                <w:szCs w:val="18"/>
                <w:lang w:val="en-US"/>
              </w:rPr>
              <w:t>49</w:t>
            </w:r>
          </w:p>
        </w:tc>
        <w:tc>
          <w:tcPr>
            <w:tcW w:w="1697" w:type="dxa"/>
            <w:shd w:val="clear" w:color="auto" w:fill="auto"/>
            <w:vAlign w:val="center"/>
          </w:tcPr>
          <w:p w14:paraId="55BDD67E">
            <w:pPr>
              <w:jc w:val="center"/>
              <w:rPr>
                <w:rFonts w:ascii="微软雅黑" w:hAnsi="微软雅黑" w:eastAsia="微软雅黑"/>
                <w:sz w:val="18"/>
                <w:szCs w:val="18"/>
                <w:lang w:val="en-US"/>
              </w:rPr>
            </w:pPr>
            <w:r>
              <w:rPr>
                <w:rFonts w:ascii="微软雅黑" w:hAnsi="微软雅黑" w:eastAsia="微软雅黑"/>
                <w:sz w:val="18"/>
                <w:szCs w:val="18"/>
                <w:lang w:val="en-US"/>
              </w:rPr>
              <w:t>-2.12</w:t>
            </w:r>
          </w:p>
        </w:tc>
        <w:tc>
          <w:tcPr>
            <w:tcW w:w="1697" w:type="dxa"/>
            <w:shd w:val="clear" w:color="auto" w:fill="auto"/>
            <w:vAlign w:val="center"/>
          </w:tcPr>
          <w:p w14:paraId="195AF1D9">
            <w:pPr>
              <w:jc w:val="center"/>
              <w:rPr>
                <w:rFonts w:ascii="微软雅黑" w:hAnsi="微软雅黑" w:eastAsia="微软雅黑"/>
                <w:sz w:val="18"/>
                <w:szCs w:val="18"/>
                <w:lang w:val="en-US"/>
              </w:rPr>
            </w:pPr>
            <w:r>
              <w:rPr>
                <w:rFonts w:ascii="微软雅黑" w:hAnsi="微软雅黑" w:eastAsia="微软雅黑"/>
                <w:sz w:val="18"/>
                <w:szCs w:val="18"/>
                <w:lang w:val="en-US"/>
              </w:rPr>
              <w:t>-1.96</w:t>
            </w:r>
          </w:p>
        </w:tc>
        <w:tc>
          <w:tcPr>
            <w:tcW w:w="2401" w:type="dxa"/>
            <w:shd w:val="clear" w:color="auto" w:fill="auto"/>
            <w:vAlign w:val="center"/>
          </w:tcPr>
          <w:p w14:paraId="4DFC2352">
            <w:pPr>
              <w:jc w:val="center"/>
              <w:rPr>
                <w:rFonts w:ascii="微软雅黑" w:hAnsi="微软雅黑" w:eastAsia="微软雅黑"/>
                <w:sz w:val="18"/>
                <w:szCs w:val="18"/>
                <w:lang w:val="en-US"/>
              </w:rPr>
            </w:pPr>
            <w:r>
              <w:rPr>
                <w:rFonts w:ascii="微软雅黑" w:hAnsi="微软雅黑" w:eastAsia="微软雅黑"/>
                <w:sz w:val="18"/>
                <w:szCs w:val="18"/>
                <w:lang w:val="en-US"/>
              </w:rPr>
              <w:t>-0.16</w:t>
            </w:r>
          </w:p>
        </w:tc>
        <w:tc>
          <w:tcPr>
            <w:tcW w:w="1151" w:type="dxa"/>
            <w:shd w:val="clear" w:color="auto" w:fill="auto"/>
            <w:vAlign w:val="center"/>
          </w:tcPr>
          <w:p w14:paraId="23EA74FE">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506CD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6D3A034">
            <w:pPr>
              <w:jc w:val="center"/>
              <w:rPr>
                <w:rFonts w:ascii="微软雅黑" w:hAnsi="微软雅黑" w:eastAsia="微软雅黑"/>
                <w:sz w:val="18"/>
                <w:szCs w:val="18"/>
                <w:lang w:val="en-US"/>
              </w:rPr>
            </w:pPr>
            <w:r>
              <w:rPr>
                <w:rFonts w:ascii="微软雅黑" w:hAnsi="微软雅黑" w:eastAsia="微软雅黑"/>
                <w:sz w:val="18"/>
                <w:szCs w:val="18"/>
                <w:lang w:val="en-US"/>
              </w:rPr>
              <w:t>51</w:t>
            </w:r>
          </w:p>
        </w:tc>
        <w:tc>
          <w:tcPr>
            <w:tcW w:w="1697" w:type="dxa"/>
            <w:shd w:val="clear" w:color="auto" w:fill="auto"/>
            <w:vAlign w:val="center"/>
          </w:tcPr>
          <w:p w14:paraId="3C23F5B2">
            <w:pPr>
              <w:jc w:val="center"/>
              <w:rPr>
                <w:rFonts w:ascii="微软雅黑" w:hAnsi="微软雅黑" w:eastAsia="微软雅黑"/>
                <w:sz w:val="18"/>
                <w:szCs w:val="18"/>
                <w:lang w:val="en-US"/>
              </w:rPr>
            </w:pPr>
            <w:r>
              <w:rPr>
                <w:rFonts w:ascii="微软雅黑" w:hAnsi="微软雅黑" w:eastAsia="微软雅黑"/>
                <w:sz w:val="18"/>
                <w:szCs w:val="18"/>
                <w:lang w:val="en-US"/>
              </w:rPr>
              <w:t>-1.95</w:t>
            </w:r>
          </w:p>
        </w:tc>
        <w:tc>
          <w:tcPr>
            <w:tcW w:w="1697" w:type="dxa"/>
            <w:shd w:val="clear" w:color="auto" w:fill="auto"/>
            <w:vAlign w:val="center"/>
          </w:tcPr>
          <w:p w14:paraId="4D909D5F">
            <w:pPr>
              <w:jc w:val="center"/>
              <w:rPr>
                <w:rFonts w:ascii="微软雅黑" w:hAnsi="微软雅黑" w:eastAsia="微软雅黑"/>
                <w:sz w:val="18"/>
                <w:szCs w:val="18"/>
                <w:lang w:val="en-US"/>
              </w:rPr>
            </w:pPr>
            <w:r>
              <w:rPr>
                <w:rFonts w:ascii="微软雅黑" w:hAnsi="微软雅黑" w:eastAsia="微软雅黑"/>
                <w:sz w:val="18"/>
                <w:szCs w:val="18"/>
                <w:lang w:val="en-US"/>
              </w:rPr>
              <w:t>-2.13</w:t>
            </w:r>
          </w:p>
        </w:tc>
        <w:tc>
          <w:tcPr>
            <w:tcW w:w="2401" w:type="dxa"/>
            <w:shd w:val="clear" w:color="auto" w:fill="auto"/>
            <w:vAlign w:val="center"/>
          </w:tcPr>
          <w:p w14:paraId="504A0763">
            <w:pPr>
              <w:jc w:val="center"/>
              <w:rPr>
                <w:rFonts w:ascii="微软雅黑" w:hAnsi="微软雅黑" w:eastAsia="微软雅黑"/>
                <w:sz w:val="18"/>
                <w:szCs w:val="18"/>
                <w:lang w:val="en-US"/>
              </w:rPr>
            </w:pPr>
            <w:r>
              <w:rPr>
                <w:rFonts w:ascii="微软雅黑" w:hAnsi="微软雅黑" w:eastAsia="微软雅黑"/>
                <w:sz w:val="18"/>
                <w:szCs w:val="18"/>
                <w:lang w:val="en-US"/>
              </w:rPr>
              <w:t>0.19</w:t>
            </w:r>
          </w:p>
        </w:tc>
        <w:tc>
          <w:tcPr>
            <w:tcW w:w="1151" w:type="dxa"/>
            <w:shd w:val="clear" w:color="auto" w:fill="auto"/>
            <w:vAlign w:val="center"/>
          </w:tcPr>
          <w:p w14:paraId="0433D554">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5A7E7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FE277FF">
            <w:pPr>
              <w:jc w:val="center"/>
              <w:rPr>
                <w:rFonts w:ascii="微软雅黑" w:hAnsi="微软雅黑" w:eastAsia="微软雅黑"/>
                <w:sz w:val="18"/>
                <w:szCs w:val="18"/>
                <w:lang w:val="en-US"/>
              </w:rPr>
            </w:pPr>
            <w:r>
              <w:rPr>
                <w:rFonts w:ascii="微软雅黑" w:hAnsi="微软雅黑" w:eastAsia="微软雅黑"/>
                <w:sz w:val="18"/>
                <w:szCs w:val="18"/>
                <w:lang w:val="en-US"/>
              </w:rPr>
              <w:t>建筑物19</w:t>
            </w:r>
          </w:p>
        </w:tc>
        <w:tc>
          <w:tcPr>
            <w:tcW w:w="1697" w:type="dxa"/>
            <w:shd w:val="clear" w:color="auto" w:fill="auto"/>
            <w:vAlign w:val="center"/>
          </w:tcPr>
          <w:p w14:paraId="1B2A04F3">
            <w:pPr>
              <w:jc w:val="center"/>
              <w:rPr>
                <w:rFonts w:ascii="微软雅黑" w:hAnsi="微软雅黑" w:eastAsia="微软雅黑"/>
                <w:sz w:val="18"/>
                <w:szCs w:val="18"/>
                <w:lang w:val="en-US"/>
              </w:rPr>
            </w:pPr>
            <w:r>
              <w:rPr>
                <w:rFonts w:ascii="微软雅黑" w:hAnsi="微软雅黑" w:eastAsia="微软雅黑"/>
                <w:sz w:val="18"/>
                <w:szCs w:val="18"/>
                <w:lang w:val="en-US"/>
              </w:rPr>
              <w:t>-1.86</w:t>
            </w:r>
          </w:p>
        </w:tc>
        <w:tc>
          <w:tcPr>
            <w:tcW w:w="1697" w:type="dxa"/>
            <w:shd w:val="clear" w:color="auto" w:fill="auto"/>
            <w:vAlign w:val="center"/>
          </w:tcPr>
          <w:p w14:paraId="10043F87">
            <w:pPr>
              <w:jc w:val="center"/>
              <w:rPr>
                <w:rFonts w:ascii="微软雅黑" w:hAnsi="微软雅黑" w:eastAsia="微软雅黑"/>
                <w:sz w:val="18"/>
                <w:szCs w:val="18"/>
                <w:lang w:val="en-US"/>
              </w:rPr>
            </w:pPr>
            <w:r>
              <w:rPr>
                <w:rFonts w:ascii="微软雅黑" w:hAnsi="微软雅黑" w:eastAsia="微软雅黑"/>
                <w:sz w:val="18"/>
                <w:szCs w:val="18"/>
                <w:lang w:val="en-US"/>
              </w:rPr>
              <w:t>-1.55</w:t>
            </w:r>
          </w:p>
        </w:tc>
        <w:tc>
          <w:tcPr>
            <w:tcW w:w="2401" w:type="dxa"/>
            <w:shd w:val="clear" w:color="auto" w:fill="auto"/>
            <w:vAlign w:val="center"/>
          </w:tcPr>
          <w:p w14:paraId="07E7CE15">
            <w:pPr>
              <w:jc w:val="center"/>
              <w:rPr>
                <w:rFonts w:ascii="微软雅黑" w:hAnsi="微软雅黑" w:eastAsia="微软雅黑"/>
                <w:sz w:val="18"/>
                <w:szCs w:val="18"/>
                <w:lang w:val="en-US"/>
              </w:rPr>
            </w:pPr>
            <w:r>
              <w:rPr>
                <w:rFonts w:ascii="微软雅黑" w:hAnsi="微软雅黑" w:eastAsia="微软雅黑"/>
                <w:sz w:val="18"/>
                <w:szCs w:val="18"/>
                <w:lang w:val="en-US"/>
              </w:rPr>
              <w:t>-0.31</w:t>
            </w:r>
          </w:p>
        </w:tc>
        <w:tc>
          <w:tcPr>
            <w:tcW w:w="1151" w:type="dxa"/>
            <w:shd w:val="clear" w:color="auto" w:fill="auto"/>
            <w:vAlign w:val="center"/>
          </w:tcPr>
          <w:p w14:paraId="6FB4D317">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1E9A9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7252BA9">
            <w:pPr>
              <w:jc w:val="center"/>
              <w:rPr>
                <w:rFonts w:ascii="微软雅黑" w:hAnsi="微软雅黑" w:eastAsia="微软雅黑"/>
                <w:sz w:val="18"/>
                <w:szCs w:val="18"/>
                <w:lang w:val="en-US"/>
              </w:rPr>
            </w:pPr>
            <w:r>
              <w:rPr>
                <w:rFonts w:ascii="微软雅黑" w:hAnsi="微软雅黑" w:eastAsia="微软雅黑"/>
                <w:sz w:val="18"/>
                <w:szCs w:val="18"/>
                <w:lang w:val="en-US"/>
              </w:rPr>
              <w:t>建筑物20</w:t>
            </w:r>
          </w:p>
        </w:tc>
        <w:tc>
          <w:tcPr>
            <w:tcW w:w="1697" w:type="dxa"/>
            <w:shd w:val="clear" w:color="auto" w:fill="auto"/>
            <w:vAlign w:val="center"/>
          </w:tcPr>
          <w:p w14:paraId="19B1676C">
            <w:pPr>
              <w:jc w:val="center"/>
              <w:rPr>
                <w:rFonts w:ascii="微软雅黑" w:hAnsi="微软雅黑" w:eastAsia="微软雅黑"/>
                <w:sz w:val="18"/>
                <w:szCs w:val="18"/>
                <w:lang w:val="en-US"/>
              </w:rPr>
            </w:pPr>
            <w:r>
              <w:rPr>
                <w:rFonts w:ascii="微软雅黑" w:hAnsi="微软雅黑" w:eastAsia="微软雅黑"/>
                <w:sz w:val="18"/>
                <w:szCs w:val="18"/>
                <w:lang w:val="en-US"/>
              </w:rPr>
              <w:t>-1.93</w:t>
            </w:r>
          </w:p>
        </w:tc>
        <w:tc>
          <w:tcPr>
            <w:tcW w:w="1697" w:type="dxa"/>
            <w:shd w:val="clear" w:color="auto" w:fill="auto"/>
            <w:vAlign w:val="center"/>
          </w:tcPr>
          <w:p w14:paraId="4CAD9F69">
            <w:pPr>
              <w:jc w:val="center"/>
              <w:rPr>
                <w:rFonts w:ascii="微软雅黑" w:hAnsi="微软雅黑" w:eastAsia="微软雅黑"/>
                <w:sz w:val="18"/>
                <w:szCs w:val="18"/>
                <w:lang w:val="en-US"/>
              </w:rPr>
            </w:pPr>
            <w:r>
              <w:rPr>
                <w:rFonts w:ascii="微软雅黑" w:hAnsi="微软雅黑" w:eastAsia="微软雅黑"/>
                <w:sz w:val="18"/>
                <w:szCs w:val="18"/>
                <w:lang w:val="en-US"/>
              </w:rPr>
              <w:t>-1.52</w:t>
            </w:r>
          </w:p>
        </w:tc>
        <w:tc>
          <w:tcPr>
            <w:tcW w:w="2401" w:type="dxa"/>
            <w:shd w:val="clear" w:color="auto" w:fill="auto"/>
            <w:vAlign w:val="center"/>
          </w:tcPr>
          <w:p w14:paraId="3A13684F">
            <w:pPr>
              <w:jc w:val="center"/>
              <w:rPr>
                <w:rFonts w:ascii="微软雅黑" w:hAnsi="微软雅黑" w:eastAsia="微软雅黑"/>
                <w:sz w:val="18"/>
                <w:szCs w:val="18"/>
                <w:lang w:val="en-US"/>
              </w:rPr>
            </w:pPr>
            <w:r>
              <w:rPr>
                <w:rFonts w:ascii="微软雅黑" w:hAnsi="微软雅黑" w:eastAsia="微软雅黑"/>
                <w:sz w:val="18"/>
                <w:szCs w:val="18"/>
                <w:lang w:val="en-US"/>
              </w:rPr>
              <w:t>-0.41</w:t>
            </w:r>
          </w:p>
        </w:tc>
        <w:tc>
          <w:tcPr>
            <w:tcW w:w="1151" w:type="dxa"/>
            <w:shd w:val="clear" w:color="auto" w:fill="auto"/>
            <w:vAlign w:val="center"/>
          </w:tcPr>
          <w:p w14:paraId="34CEC7D8">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27D16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79442C6">
            <w:pPr>
              <w:jc w:val="center"/>
              <w:rPr>
                <w:rFonts w:ascii="微软雅黑" w:hAnsi="微软雅黑" w:eastAsia="微软雅黑"/>
                <w:sz w:val="18"/>
                <w:szCs w:val="18"/>
                <w:lang w:val="en-US"/>
              </w:rPr>
            </w:pPr>
            <w:r>
              <w:rPr>
                <w:rFonts w:ascii="微软雅黑" w:hAnsi="微软雅黑" w:eastAsia="微软雅黑"/>
                <w:sz w:val="18"/>
                <w:szCs w:val="18"/>
                <w:lang w:val="en-US"/>
              </w:rPr>
              <w:t>建筑物21</w:t>
            </w:r>
          </w:p>
        </w:tc>
        <w:tc>
          <w:tcPr>
            <w:tcW w:w="1697" w:type="dxa"/>
            <w:shd w:val="clear" w:color="auto" w:fill="auto"/>
            <w:vAlign w:val="center"/>
          </w:tcPr>
          <w:p w14:paraId="3AB77EBF">
            <w:pPr>
              <w:jc w:val="center"/>
              <w:rPr>
                <w:rFonts w:ascii="微软雅黑" w:hAnsi="微软雅黑" w:eastAsia="微软雅黑"/>
                <w:sz w:val="18"/>
                <w:szCs w:val="18"/>
                <w:lang w:val="en-US"/>
              </w:rPr>
            </w:pPr>
            <w:r>
              <w:rPr>
                <w:rFonts w:ascii="微软雅黑" w:hAnsi="微软雅黑" w:eastAsia="微软雅黑"/>
                <w:sz w:val="18"/>
                <w:szCs w:val="18"/>
                <w:lang w:val="en-US"/>
              </w:rPr>
              <w:t>-2.22</w:t>
            </w:r>
          </w:p>
        </w:tc>
        <w:tc>
          <w:tcPr>
            <w:tcW w:w="1697" w:type="dxa"/>
            <w:shd w:val="clear" w:color="auto" w:fill="auto"/>
            <w:vAlign w:val="center"/>
          </w:tcPr>
          <w:p w14:paraId="1FAAD96D">
            <w:pPr>
              <w:jc w:val="center"/>
              <w:rPr>
                <w:rFonts w:ascii="微软雅黑" w:hAnsi="微软雅黑" w:eastAsia="微软雅黑"/>
                <w:sz w:val="18"/>
                <w:szCs w:val="18"/>
                <w:lang w:val="en-US"/>
              </w:rPr>
            </w:pPr>
            <w:r>
              <w:rPr>
                <w:rFonts w:ascii="微软雅黑" w:hAnsi="微软雅黑" w:eastAsia="微软雅黑"/>
                <w:sz w:val="18"/>
                <w:szCs w:val="18"/>
                <w:lang w:val="en-US"/>
              </w:rPr>
              <w:t>-2.18</w:t>
            </w:r>
          </w:p>
        </w:tc>
        <w:tc>
          <w:tcPr>
            <w:tcW w:w="2401" w:type="dxa"/>
            <w:shd w:val="clear" w:color="auto" w:fill="auto"/>
            <w:vAlign w:val="center"/>
          </w:tcPr>
          <w:p w14:paraId="01816E9E">
            <w:pPr>
              <w:jc w:val="center"/>
              <w:rPr>
                <w:rFonts w:ascii="微软雅黑" w:hAnsi="微软雅黑" w:eastAsia="微软雅黑"/>
                <w:sz w:val="18"/>
                <w:szCs w:val="18"/>
                <w:lang w:val="en-US"/>
              </w:rPr>
            </w:pPr>
            <w:r>
              <w:rPr>
                <w:rFonts w:ascii="微软雅黑" w:hAnsi="微软雅黑" w:eastAsia="微软雅黑"/>
                <w:sz w:val="18"/>
                <w:szCs w:val="18"/>
                <w:lang w:val="en-US"/>
              </w:rPr>
              <w:t>-0.05</w:t>
            </w:r>
          </w:p>
        </w:tc>
        <w:tc>
          <w:tcPr>
            <w:tcW w:w="1151" w:type="dxa"/>
            <w:shd w:val="clear" w:color="auto" w:fill="auto"/>
            <w:vAlign w:val="center"/>
          </w:tcPr>
          <w:p w14:paraId="3F8548FA">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tr w14:paraId="01F7A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9A259DC">
            <w:pPr>
              <w:jc w:val="center"/>
              <w:rPr>
                <w:rFonts w:ascii="微软雅黑" w:hAnsi="微软雅黑" w:eastAsia="微软雅黑"/>
                <w:sz w:val="18"/>
                <w:szCs w:val="18"/>
                <w:lang w:val="en-US"/>
              </w:rPr>
            </w:pPr>
            <w:r>
              <w:rPr>
                <w:rFonts w:ascii="微软雅黑" w:hAnsi="微软雅黑" w:eastAsia="微软雅黑"/>
                <w:sz w:val="18"/>
                <w:szCs w:val="18"/>
                <w:lang w:val="en-US"/>
              </w:rPr>
              <w:t>39</w:t>
            </w:r>
          </w:p>
        </w:tc>
        <w:tc>
          <w:tcPr>
            <w:tcW w:w="1697" w:type="dxa"/>
            <w:shd w:val="clear" w:color="auto" w:fill="auto"/>
            <w:vAlign w:val="center"/>
          </w:tcPr>
          <w:p w14:paraId="363111A4">
            <w:pPr>
              <w:jc w:val="center"/>
              <w:rPr>
                <w:rFonts w:ascii="微软雅黑" w:hAnsi="微软雅黑" w:eastAsia="微软雅黑"/>
                <w:sz w:val="18"/>
                <w:szCs w:val="18"/>
                <w:lang w:val="en-US"/>
              </w:rPr>
            </w:pPr>
            <w:r>
              <w:rPr>
                <w:rFonts w:ascii="微软雅黑" w:hAnsi="微软雅黑" w:eastAsia="微软雅黑"/>
                <w:sz w:val="18"/>
                <w:szCs w:val="18"/>
                <w:lang w:val="en-US"/>
              </w:rPr>
              <w:t>-1.77</w:t>
            </w:r>
          </w:p>
        </w:tc>
        <w:tc>
          <w:tcPr>
            <w:tcW w:w="1697" w:type="dxa"/>
            <w:shd w:val="clear" w:color="auto" w:fill="auto"/>
            <w:vAlign w:val="center"/>
          </w:tcPr>
          <w:p w14:paraId="2C280870">
            <w:pPr>
              <w:jc w:val="center"/>
              <w:rPr>
                <w:rFonts w:ascii="微软雅黑" w:hAnsi="微软雅黑" w:eastAsia="微软雅黑"/>
                <w:sz w:val="18"/>
                <w:szCs w:val="18"/>
                <w:lang w:val="en-US"/>
              </w:rPr>
            </w:pPr>
            <w:r>
              <w:rPr>
                <w:rFonts w:ascii="微软雅黑" w:hAnsi="微软雅黑" w:eastAsia="微软雅黑"/>
                <w:sz w:val="18"/>
                <w:szCs w:val="18"/>
                <w:lang w:val="en-US"/>
              </w:rPr>
              <w:t>-1.84</w:t>
            </w:r>
          </w:p>
        </w:tc>
        <w:tc>
          <w:tcPr>
            <w:tcW w:w="2401" w:type="dxa"/>
            <w:shd w:val="clear" w:color="auto" w:fill="auto"/>
            <w:vAlign w:val="center"/>
          </w:tcPr>
          <w:p w14:paraId="11E5182C">
            <w:pPr>
              <w:jc w:val="center"/>
              <w:rPr>
                <w:rFonts w:ascii="微软雅黑" w:hAnsi="微软雅黑" w:eastAsia="微软雅黑"/>
                <w:sz w:val="18"/>
                <w:szCs w:val="18"/>
                <w:lang w:val="en-US"/>
              </w:rPr>
            </w:pPr>
            <w:r>
              <w:rPr>
                <w:rFonts w:ascii="微软雅黑" w:hAnsi="微软雅黑" w:eastAsia="微软雅黑"/>
                <w:sz w:val="18"/>
                <w:szCs w:val="18"/>
                <w:lang w:val="en-US"/>
              </w:rPr>
              <w:t>0.08</w:t>
            </w:r>
          </w:p>
        </w:tc>
        <w:tc>
          <w:tcPr>
            <w:tcW w:w="1151" w:type="dxa"/>
            <w:shd w:val="clear" w:color="auto" w:fill="auto"/>
            <w:vAlign w:val="center"/>
          </w:tcPr>
          <w:p w14:paraId="012476A0">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7FA6B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F4AF1DA">
            <w:pPr>
              <w:jc w:val="center"/>
              <w:rPr>
                <w:rFonts w:ascii="微软雅黑" w:hAnsi="微软雅黑" w:eastAsia="微软雅黑"/>
                <w:sz w:val="18"/>
                <w:szCs w:val="18"/>
                <w:lang w:val="en-US"/>
              </w:rPr>
            </w:pPr>
            <w:r>
              <w:rPr>
                <w:rFonts w:ascii="微软雅黑" w:hAnsi="微软雅黑" w:eastAsia="微软雅黑"/>
                <w:sz w:val="18"/>
                <w:szCs w:val="18"/>
                <w:lang w:val="en-US"/>
              </w:rPr>
              <w:t>40</w:t>
            </w:r>
          </w:p>
        </w:tc>
        <w:tc>
          <w:tcPr>
            <w:tcW w:w="1697" w:type="dxa"/>
            <w:shd w:val="clear" w:color="auto" w:fill="auto"/>
            <w:vAlign w:val="center"/>
          </w:tcPr>
          <w:p w14:paraId="24A85C74">
            <w:pPr>
              <w:jc w:val="center"/>
              <w:rPr>
                <w:rFonts w:ascii="微软雅黑" w:hAnsi="微软雅黑" w:eastAsia="微软雅黑"/>
                <w:sz w:val="18"/>
                <w:szCs w:val="18"/>
                <w:lang w:val="en-US"/>
              </w:rPr>
            </w:pPr>
            <w:r>
              <w:rPr>
                <w:rFonts w:ascii="微软雅黑" w:hAnsi="微软雅黑" w:eastAsia="微软雅黑"/>
                <w:sz w:val="18"/>
                <w:szCs w:val="18"/>
                <w:lang w:val="en-US"/>
              </w:rPr>
              <w:t>-1.88</w:t>
            </w:r>
          </w:p>
        </w:tc>
        <w:tc>
          <w:tcPr>
            <w:tcW w:w="1697" w:type="dxa"/>
            <w:shd w:val="clear" w:color="auto" w:fill="auto"/>
            <w:vAlign w:val="center"/>
          </w:tcPr>
          <w:p w14:paraId="2F4F0E8C">
            <w:pPr>
              <w:jc w:val="center"/>
              <w:rPr>
                <w:rFonts w:ascii="微软雅黑" w:hAnsi="微软雅黑" w:eastAsia="微软雅黑"/>
                <w:sz w:val="18"/>
                <w:szCs w:val="18"/>
                <w:lang w:val="en-US"/>
              </w:rPr>
            </w:pPr>
            <w:r>
              <w:rPr>
                <w:rFonts w:ascii="微软雅黑" w:hAnsi="微软雅黑" w:eastAsia="微软雅黑"/>
                <w:sz w:val="18"/>
                <w:szCs w:val="18"/>
                <w:lang w:val="en-US"/>
              </w:rPr>
              <w:t>-1.62</w:t>
            </w:r>
          </w:p>
        </w:tc>
        <w:tc>
          <w:tcPr>
            <w:tcW w:w="2401" w:type="dxa"/>
            <w:shd w:val="clear" w:color="auto" w:fill="auto"/>
            <w:vAlign w:val="center"/>
          </w:tcPr>
          <w:p w14:paraId="7CEEE82B">
            <w:pPr>
              <w:jc w:val="center"/>
              <w:rPr>
                <w:rFonts w:ascii="微软雅黑" w:hAnsi="微软雅黑" w:eastAsia="微软雅黑"/>
                <w:sz w:val="18"/>
                <w:szCs w:val="18"/>
                <w:lang w:val="en-US"/>
              </w:rPr>
            </w:pPr>
            <w:r>
              <w:rPr>
                <w:rFonts w:ascii="微软雅黑" w:hAnsi="微软雅黑" w:eastAsia="微软雅黑"/>
                <w:sz w:val="18"/>
                <w:szCs w:val="18"/>
                <w:lang w:val="en-US"/>
              </w:rPr>
              <w:t>-0.26</w:t>
            </w:r>
          </w:p>
        </w:tc>
        <w:tc>
          <w:tcPr>
            <w:tcW w:w="1151" w:type="dxa"/>
            <w:shd w:val="clear" w:color="auto" w:fill="auto"/>
            <w:vAlign w:val="center"/>
          </w:tcPr>
          <w:p w14:paraId="377285E0">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1DB70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4E05C99A">
            <w:pPr>
              <w:jc w:val="center"/>
              <w:rPr>
                <w:rFonts w:ascii="微软雅黑" w:hAnsi="微软雅黑" w:eastAsia="微软雅黑"/>
                <w:sz w:val="18"/>
                <w:szCs w:val="18"/>
                <w:lang w:val="en-US"/>
              </w:rPr>
            </w:pPr>
            <w:r>
              <w:rPr>
                <w:rFonts w:ascii="微软雅黑" w:hAnsi="微软雅黑" w:eastAsia="微软雅黑"/>
                <w:sz w:val="18"/>
                <w:szCs w:val="18"/>
                <w:lang w:val="en-US"/>
              </w:rPr>
              <w:t>52</w:t>
            </w:r>
          </w:p>
        </w:tc>
        <w:tc>
          <w:tcPr>
            <w:tcW w:w="1697" w:type="dxa"/>
            <w:shd w:val="clear" w:color="auto" w:fill="auto"/>
            <w:vAlign w:val="center"/>
          </w:tcPr>
          <w:p w14:paraId="352EC262">
            <w:pPr>
              <w:jc w:val="center"/>
              <w:rPr>
                <w:rFonts w:ascii="微软雅黑" w:hAnsi="微软雅黑" w:eastAsia="微软雅黑"/>
                <w:sz w:val="18"/>
                <w:szCs w:val="18"/>
                <w:lang w:val="en-US"/>
              </w:rPr>
            </w:pPr>
            <w:r>
              <w:rPr>
                <w:rFonts w:ascii="微软雅黑" w:hAnsi="微软雅黑" w:eastAsia="微软雅黑"/>
                <w:sz w:val="18"/>
                <w:szCs w:val="18"/>
                <w:lang w:val="en-US"/>
              </w:rPr>
              <w:t>-1.88</w:t>
            </w:r>
          </w:p>
        </w:tc>
        <w:tc>
          <w:tcPr>
            <w:tcW w:w="1697" w:type="dxa"/>
            <w:shd w:val="clear" w:color="auto" w:fill="auto"/>
            <w:vAlign w:val="center"/>
          </w:tcPr>
          <w:p w14:paraId="0AEA3DE8">
            <w:pPr>
              <w:jc w:val="center"/>
              <w:rPr>
                <w:rFonts w:ascii="微软雅黑" w:hAnsi="微软雅黑" w:eastAsia="微软雅黑"/>
                <w:sz w:val="18"/>
                <w:szCs w:val="18"/>
                <w:lang w:val="en-US"/>
              </w:rPr>
            </w:pPr>
            <w:r>
              <w:rPr>
                <w:rFonts w:ascii="微软雅黑" w:hAnsi="微软雅黑" w:eastAsia="微软雅黑"/>
                <w:sz w:val="18"/>
                <w:szCs w:val="18"/>
                <w:lang w:val="en-US"/>
              </w:rPr>
              <w:t>-1.69</w:t>
            </w:r>
          </w:p>
        </w:tc>
        <w:tc>
          <w:tcPr>
            <w:tcW w:w="2401" w:type="dxa"/>
            <w:shd w:val="clear" w:color="auto" w:fill="auto"/>
            <w:vAlign w:val="center"/>
          </w:tcPr>
          <w:p w14:paraId="19AFC241">
            <w:pPr>
              <w:jc w:val="center"/>
              <w:rPr>
                <w:rFonts w:ascii="微软雅黑" w:hAnsi="微软雅黑" w:eastAsia="微软雅黑"/>
                <w:sz w:val="18"/>
                <w:szCs w:val="18"/>
                <w:lang w:val="en-US"/>
              </w:rPr>
            </w:pPr>
            <w:r>
              <w:rPr>
                <w:rFonts w:ascii="微软雅黑" w:hAnsi="微软雅黑" w:eastAsia="微软雅黑"/>
                <w:sz w:val="18"/>
                <w:szCs w:val="18"/>
                <w:lang w:val="en-US"/>
              </w:rPr>
              <w:t>-0.19</w:t>
            </w:r>
          </w:p>
        </w:tc>
        <w:tc>
          <w:tcPr>
            <w:tcW w:w="1151" w:type="dxa"/>
            <w:shd w:val="clear" w:color="auto" w:fill="auto"/>
            <w:vAlign w:val="center"/>
          </w:tcPr>
          <w:p w14:paraId="1CAFBD49">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tr w14:paraId="23215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21B72669">
            <w:pPr>
              <w:jc w:val="center"/>
              <w:rPr>
                <w:rFonts w:ascii="微软雅黑" w:hAnsi="微软雅黑" w:eastAsia="微软雅黑"/>
                <w:sz w:val="18"/>
                <w:szCs w:val="18"/>
                <w:lang w:val="en-US"/>
              </w:rPr>
            </w:pPr>
            <w:r>
              <w:rPr>
                <w:rFonts w:ascii="微软雅黑" w:hAnsi="微软雅黑" w:eastAsia="微软雅黑"/>
                <w:sz w:val="18"/>
                <w:szCs w:val="18"/>
                <w:lang w:val="en-US"/>
              </w:rPr>
              <w:t>三稿平面_T8</w:t>
            </w:r>
          </w:p>
        </w:tc>
        <w:tc>
          <w:tcPr>
            <w:tcW w:w="1697" w:type="dxa"/>
            <w:shd w:val="clear" w:color="auto" w:fill="auto"/>
            <w:vAlign w:val="center"/>
          </w:tcPr>
          <w:p w14:paraId="1D3BE5E2">
            <w:pPr>
              <w:jc w:val="center"/>
              <w:rPr>
                <w:rFonts w:ascii="微软雅黑" w:hAnsi="微软雅黑" w:eastAsia="微软雅黑"/>
                <w:sz w:val="18"/>
                <w:szCs w:val="18"/>
                <w:lang w:val="en-US"/>
              </w:rPr>
            </w:pPr>
            <w:r>
              <w:rPr>
                <w:rFonts w:ascii="微软雅黑" w:hAnsi="微软雅黑" w:eastAsia="微软雅黑"/>
                <w:sz w:val="18"/>
                <w:szCs w:val="18"/>
                <w:lang w:val="en-US"/>
              </w:rPr>
              <w:t>-1.57</w:t>
            </w:r>
          </w:p>
        </w:tc>
        <w:tc>
          <w:tcPr>
            <w:tcW w:w="1697" w:type="dxa"/>
            <w:shd w:val="clear" w:color="auto" w:fill="auto"/>
            <w:vAlign w:val="center"/>
          </w:tcPr>
          <w:p w14:paraId="721F927D">
            <w:pPr>
              <w:jc w:val="center"/>
              <w:rPr>
                <w:rFonts w:ascii="微软雅黑" w:hAnsi="微软雅黑" w:eastAsia="微软雅黑"/>
                <w:sz w:val="18"/>
                <w:szCs w:val="18"/>
                <w:lang w:val="en-US"/>
              </w:rPr>
            </w:pPr>
            <w:r>
              <w:rPr>
                <w:rFonts w:ascii="微软雅黑" w:hAnsi="微软雅黑" w:eastAsia="微软雅黑"/>
                <w:sz w:val="18"/>
                <w:szCs w:val="18"/>
                <w:lang w:val="en-US"/>
              </w:rPr>
              <w:t>-1.90</w:t>
            </w:r>
          </w:p>
        </w:tc>
        <w:tc>
          <w:tcPr>
            <w:tcW w:w="2401" w:type="dxa"/>
            <w:shd w:val="clear" w:color="auto" w:fill="auto"/>
            <w:vAlign w:val="center"/>
          </w:tcPr>
          <w:p w14:paraId="5D14DA4E">
            <w:pPr>
              <w:jc w:val="center"/>
              <w:rPr>
                <w:rFonts w:ascii="微软雅黑" w:hAnsi="微软雅黑" w:eastAsia="微软雅黑"/>
                <w:sz w:val="18"/>
                <w:szCs w:val="18"/>
                <w:lang w:val="en-US"/>
              </w:rPr>
            </w:pPr>
            <w:r>
              <w:rPr>
                <w:rFonts w:ascii="微软雅黑" w:hAnsi="微软雅黑" w:eastAsia="微软雅黑"/>
                <w:sz w:val="18"/>
                <w:szCs w:val="18"/>
                <w:lang w:val="en-US"/>
              </w:rPr>
              <w:t>0.33</w:t>
            </w:r>
          </w:p>
        </w:tc>
        <w:tc>
          <w:tcPr>
            <w:tcW w:w="1151" w:type="dxa"/>
            <w:shd w:val="clear" w:color="auto" w:fill="auto"/>
            <w:vAlign w:val="center"/>
          </w:tcPr>
          <w:p w14:paraId="5394DD0B">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12"/>
    </w:tbl>
    <w:p w14:paraId="40BC6691">
      <w:pPr>
        <w:rPr>
          <w:rFonts w:ascii="微软雅黑" w:hAnsi="微软雅黑" w:eastAsia="微软雅黑"/>
          <w:lang w:val="en-US"/>
        </w:rPr>
      </w:pPr>
      <w:bookmarkStart w:id="113" w:name="建筑迎风和背风面风压差结论汇总结论"/>
      <w:bookmarkEnd w:id="113"/>
      <w:r>
        <w:rPr>
          <w:rFonts w:ascii="微软雅黑" w:hAnsi="微软雅黑" w:eastAsia="微软雅黑"/>
          <w:lang w:val="en-US"/>
        </w:rPr>
        <w:t>结论：本项目中所有参评建筑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4F81A43C">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7A4219A4">
      <w:pPr>
        <w:rPr>
          <w:lang w:val="en-US"/>
        </w:rPr>
      </w:pPr>
      <w:bookmarkStart w:id="114" w:name="冬季工况"/>
      <w:bookmarkEnd w:id="114"/>
      <w:r>
        <w:rPr>
          <w:rFonts w:hint="eastAsia"/>
          <w:lang w:val="en-US"/>
        </w:rPr>
        <w:t xml:space="preserve"> </w:t>
      </w:r>
    </w:p>
    <w:p w14:paraId="30190E88">
      <w:pPr>
        <w:pStyle w:val="4"/>
      </w:pPr>
      <w:bookmarkStart w:id="115" w:name="_Toc509844759"/>
      <w:bookmarkStart w:id="116" w:name="_Toc30982"/>
      <w:r>
        <w:rPr>
          <w:rFonts w:hint="eastAsia"/>
        </w:rPr>
        <w:t>夏季工况</w:t>
      </w:r>
      <w:bookmarkEnd w:id="115"/>
      <w:bookmarkEnd w:id="116"/>
    </w:p>
    <w:p w14:paraId="2BCA7FEE">
      <w:pPr>
        <w:ind w:firstLine="420"/>
      </w:pPr>
      <w:r>
        <w:rPr>
          <w:rFonts w:hint="eastAsia"/>
          <w:lang w:val="en-US"/>
        </w:rPr>
        <w:t>本项目夏季工况的入口边界风速为</w:t>
      </w:r>
      <w:bookmarkStart w:id="117" w:name="入口边界风速"/>
      <w:r>
        <w:rPr>
          <w:rFonts w:hint="eastAsia"/>
          <w:lang w:val="en-US"/>
        </w:rPr>
        <w:t>3.10</w:t>
      </w:r>
      <w:bookmarkEnd w:id="117"/>
      <w:r>
        <w:rPr>
          <w:rFonts w:hint="eastAsia"/>
          <w:lang w:val="en-US"/>
        </w:rPr>
        <w:t>m/s，风向为</w:t>
      </w:r>
      <w:bookmarkStart w:id="118" w:name="入口边界风向"/>
      <w:r>
        <w:t>WSW</w:t>
      </w:r>
      <w:bookmarkEnd w:id="118"/>
      <w:r>
        <w:rPr>
          <w:rFonts w:hint="eastAsia"/>
          <w:lang w:val="en-US"/>
        </w:rPr>
        <w:t>。</w:t>
      </w:r>
    </w:p>
    <w:p w14:paraId="2E33CEE3">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9" w:name="季节4"/>
      <w:r>
        <w:rPr>
          <w:rFonts w:hint="eastAsia"/>
          <w:lang w:val="en-US"/>
        </w:rPr>
        <w:t>夏季</w:t>
      </w:r>
      <w:bookmarkEnd w:id="119"/>
      <w:r>
        <w:rPr>
          <w:rFonts w:hint="eastAsia"/>
          <w:lang w:val="en-US"/>
        </w:rPr>
        <w:t>形成有效的巷道风，优化街区自然通风环境，避免</w:t>
      </w:r>
      <w:bookmarkStart w:id="120" w:name="季节5"/>
      <w:r>
        <w:rPr>
          <w:rFonts w:hint="eastAsia"/>
          <w:lang w:val="en-US"/>
        </w:rPr>
        <w:t>夏季</w:t>
      </w:r>
      <w:bookmarkEnd w:id="120"/>
      <w:r>
        <w:rPr>
          <w:rFonts w:hint="eastAsia"/>
          <w:lang w:val="en-US"/>
        </w:rPr>
        <w:t>人活动区有明显的气流旋涡和无风区，从而造成闷热不适感。因此本项目需要分析人活动区的风速，并作出判断。</w:t>
      </w:r>
    </w:p>
    <w:p w14:paraId="18FE6CDA">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5ABAE7EE">
      <w:pPr>
        <w:ind w:firstLine="420"/>
      </w:pPr>
      <w:r>
        <w:rPr>
          <w:rFonts w:hint="eastAsia"/>
          <w:lang w:val="en-US"/>
        </w:rPr>
        <w:t>注：无风区的定义参考《</w:t>
      </w:r>
      <w:r>
        <w:rPr>
          <w:rFonts w:hint="eastAsia"/>
        </w:rPr>
        <w:t>建筑设计资料集</w:t>
      </w:r>
      <w:r>
        <w:rPr>
          <w:rFonts w:hint="eastAsia"/>
          <w:lang w:val="en-US"/>
        </w:rPr>
        <w:t>》第一分册，第二版。</w:t>
      </w:r>
    </w:p>
    <w:p w14:paraId="603469E5">
      <w:pPr>
        <w:pStyle w:val="5"/>
      </w:pPr>
      <w:bookmarkStart w:id="121" w:name="_Toc509844760"/>
      <w:r>
        <w:rPr>
          <w:rFonts w:hint="eastAsia"/>
        </w:rPr>
        <w:t>人活动区域无风区计算分析</w:t>
      </w:r>
      <w:bookmarkEnd w:id="121"/>
    </w:p>
    <w:p w14:paraId="7FD9B346">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22" w:name="人活动区风速分析结论"/>
      <w:bookmarkEnd w:id="122"/>
      <w:r>
        <w:t>人活动区内未标示出风速</w:t>
      </w:r>
      <w:r>
        <w:rPr>
          <w:color w:val="0000FF"/>
        </w:rPr>
        <w:t>小于</w:t>
      </w:r>
      <w:r>
        <w:t>0.2m/s的超限区域，因此人活动区风速</w:t>
      </w:r>
      <w:r>
        <w:rPr>
          <w:color w:val="0000FF"/>
        </w:rPr>
        <w:t>满足</w:t>
      </w:r>
      <w:r>
        <w:t>绿标要求，项目可采用现有建筑布局。</w:t>
      </w:r>
    </w:p>
    <w:p w14:paraId="61D17838">
      <w:pPr>
        <w:pStyle w:val="3"/>
        <w:spacing w:after="156" w:afterLines="50"/>
        <w:ind w:firstLine="0" w:firstLineChars="0"/>
        <w:jc w:val="center"/>
        <w:rPr>
          <w:rFonts w:ascii="微软雅黑" w:hAnsi="微软雅黑" w:eastAsia="微软雅黑"/>
        </w:rPr>
      </w:pPr>
      <w:bookmarkStart w:id="123" w:name="人行区风速云图"/>
      <w:bookmarkEnd w:id="123"/>
      <w:r>
        <w:drawing>
          <wp:inline distT="0" distB="0" distL="0" distR="0">
            <wp:extent cx="5667375" cy="32480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0"/>
                    <a:stretch>
                      <a:fillRect/>
                    </a:stretch>
                  </pic:blipFill>
                  <pic:spPr>
                    <a:xfrm>
                      <a:off x="0" y="0"/>
                      <a:ext cx="5667375" cy="3248025"/>
                    </a:xfrm>
                    <a:prstGeom prst="rect">
                      <a:avLst/>
                    </a:prstGeom>
                  </pic:spPr>
                </pic:pic>
              </a:graphicData>
            </a:graphic>
          </wp:inline>
        </w:drawing>
      </w:r>
    </w:p>
    <w:p w14:paraId="2B0E840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24" w:name="季节6"/>
      <w:r>
        <w:rPr>
          <w:rFonts w:hint="eastAsia" w:ascii="微软雅黑" w:hAnsi="微软雅黑" w:eastAsia="微软雅黑"/>
          <w:sz w:val="18"/>
          <w:szCs w:val="18"/>
        </w:rPr>
        <w:t>夏季</w:t>
      </w:r>
      <w:bookmarkEnd w:id="124"/>
      <w:r>
        <w:rPr>
          <w:rFonts w:hint="eastAsia" w:ascii="微软雅黑" w:hAnsi="微软雅黑" w:eastAsia="微软雅黑"/>
          <w:sz w:val="18"/>
          <w:szCs w:val="18"/>
        </w:rPr>
        <w:t xml:space="preserve"> </w:t>
      </w:r>
    </w:p>
    <w:p w14:paraId="2D334C01">
      <w:pPr>
        <w:pStyle w:val="5"/>
      </w:pPr>
      <w:bookmarkStart w:id="125" w:name="_Toc509844761"/>
      <w:r>
        <w:rPr>
          <w:rFonts w:hint="eastAsia"/>
        </w:rPr>
        <w:t>人活动区域旋涡区分析</w:t>
      </w:r>
      <w:bookmarkEnd w:id="125"/>
    </w:p>
    <w:p w14:paraId="54513F9F">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19063164">
      <w:pPr>
        <w:pStyle w:val="3"/>
        <w:ind w:firstLine="0" w:firstLineChars="0"/>
        <w:jc w:val="center"/>
        <w:rPr>
          <w:rFonts w:ascii="微软雅黑" w:hAnsi="微软雅黑" w:eastAsia="微软雅黑"/>
          <w:lang w:val="en-US"/>
        </w:rPr>
      </w:pPr>
      <w:bookmarkStart w:id="126" w:name="人行区风速矢量图"/>
      <w:bookmarkEnd w:id="126"/>
      <w:r>
        <w:drawing>
          <wp:inline distT="0" distB="0" distL="0" distR="0">
            <wp:extent cx="5667375" cy="33909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3390900"/>
                    </a:xfrm>
                    <a:prstGeom prst="rect">
                      <a:avLst/>
                    </a:prstGeom>
                  </pic:spPr>
                </pic:pic>
              </a:graphicData>
            </a:graphic>
          </wp:inline>
        </w:drawing>
      </w:r>
    </w:p>
    <w:p w14:paraId="41235179">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2413C52D">
      <w:pPr>
        <w:pStyle w:val="5"/>
      </w:pPr>
      <w:bookmarkStart w:id="127" w:name="_Toc509844762"/>
      <w:r>
        <w:rPr>
          <w:rFonts w:hint="eastAsia"/>
        </w:rPr>
        <w:t>人活动区域旋涡区/无风区达标</w:t>
      </w:r>
      <w:bookmarkEnd w:id="127"/>
      <w:r>
        <w:rPr>
          <w:rFonts w:hint="eastAsia"/>
        </w:rPr>
        <w:t>结果汇总</w:t>
      </w:r>
    </w:p>
    <w:p w14:paraId="4B72A6A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8" w:name="季节8"/>
      <w:r>
        <w:rPr>
          <w:rFonts w:hint="eastAsia" w:ascii="微软雅黑" w:hAnsi="微软雅黑" w:eastAsia="微软雅黑"/>
          <w:sz w:val="18"/>
          <w:szCs w:val="18"/>
        </w:rPr>
        <w:t>夏季</w:t>
      </w:r>
      <w:bookmarkEnd w:id="128"/>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0C390AC2">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6639DE">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CC31F94">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48B287C5">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C5760B5">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00B2EC5B">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997DDDA">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1516B844">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771C9BA6">
            <w:pPr>
              <w:spacing w:line="400" w:lineRule="exact"/>
              <w:jc w:val="center"/>
              <w:rPr>
                <w:rFonts w:cs="宋体"/>
                <w:color w:val="000000"/>
                <w:sz w:val="18"/>
                <w:szCs w:val="18"/>
                <w:lang w:val="en-US"/>
              </w:rPr>
            </w:pPr>
            <w:bookmarkStart w:id="129" w:name="是否有无风区"/>
            <w:r>
              <w:rPr>
                <w:rFonts w:hint="eastAsia" w:cs="宋体"/>
                <w:color w:val="000000"/>
                <w:sz w:val="18"/>
                <w:szCs w:val="18"/>
                <w:lang w:val="en-US"/>
              </w:rPr>
              <w:t>否</w:t>
            </w:r>
            <w:bookmarkEnd w:id="129"/>
          </w:p>
        </w:tc>
        <w:tc>
          <w:tcPr>
            <w:tcW w:w="1701" w:type="dxa"/>
            <w:tcBorders>
              <w:top w:val="nil"/>
              <w:left w:val="nil"/>
              <w:bottom w:val="single" w:color="auto" w:sz="4" w:space="0"/>
              <w:right w:val="single" w:color="auto" w:sz="4" w:space="0"/>
            </w:tcBorders>
            <w:shd w:val="clear" w:color="auto" w:fill="auto"/>
            <w:noWrap/>
            <w:vAlign w:val="center"/>
          </w:tcPr>
          <w:p w14:paraId="28535421">
            <w:pPr>
              <w:spacing w:line="400" w:lineRule="exact"/>
              <w:jc w:val="center"/>
              <w:rPr>
                <w:rFonts w:cs="宋体"/>
                <w:color w:val="000000"/>
                <w:sz w:val="18"/>
                <w:szCs w:val="18"/>
                <w:lang w:val="en-US"/>
              </w:rPr>
            </w:pPr>
            <w:bookmarkStart w:id="130" w:name="无风区达标判断"/>
            <w:r>
              <w:rPr>
                <w:rFonts w:hint="eastAsia" w:cs="宋体"/>
                <w:color w:val="000000"/>
                <w:sz w:val="18"/>
                <w:szCs w:val="18"/>
                <w:lang w:val="en-US"/>
              </w:rPr>
              <w:t>是</w:t>
            </w:r>
            <w:bookmarkEnd w:id="130"/>
          </w:p>
        </w:tc>
      </w:tr>
      <w:tr w14:paraId="7564DD5E">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205DC0F">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7A77FED5">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354B81C3">
            <w:pPr>
              <w:spacing w:line="400" w:lineRule="exact"/>
              <w:jc w:val="center"/>
              <w:rPr>
                <w:rFonts w:cs="宋体"/>
                <w:color w:val="000000"/>
                <w:sz w:val="18"/>
                <w:szCs w:val="18"/>
                <w:lang w:val="en-US"/>
              </w:rPr>
            </w:pPr>
            <w:bookmarkStart w:id="131" w:name="是否有旋涡区"/>
            <w:r>
              <w:rPr>
                <w:rFonts w:cs="宋体"/>
                <w:color w:val="000000"/>
                <w:sz w:val="18"/>
                <w:szCs w:val="18"/>
                <w:lang w:val="en-US"/>
              </w:rPr>
              <w:t>否</w:t>
            </w:r>
            <w:bookmarkEnd w:id="131"/>
          </w:p>
        </w:tc>
        <w:tc>
          <w:tcPr>
            <w:tcW w:w="1701" w:type="dxa"/>
            <w:tcBorders>
              <w:top w:val="nil"/>
              <w:left w:val="nil"/>
              <w:bottom w:val="single" w:color="auto" w:sz="4" w:space="0"/>
              <w:right w:val="single" w:color="auto" w:sz="4" w:space="0"/>
            </w:tcBorders>
            <w:shd w:val="clear" w:color="auto" w:fill="auto"/>
            <w:noWrap/>
            <w:vAlign w:val="center"/>
          </w:tcPr>
          <w:p w14:paraId="31F115E3">
            <w:pPr>
              <w:spacing w:line="400" w:lineRule="exact"/>
              <w:jc w:val="center"/>
              <w:rPr>
                <w:rFonts w:cs="宋体"/>
                <w:color w:val="000000"/>
                <w:sz w:val="18"/>
                <w:szCs w:val="18"/>
                <w:lang w:val="en-US"/>
              </w:rPr>
            </w:pPr>
            <w:bookmarkStart w:id="132" w:name="旋涡区达标判断"/>
            <w:r>
              <w:rPr>
                <w:rFonts w:cs="宋体"/>
                <w:color w:val="000000"/>
                <w:sz w:val="18"/>
                <w:szCs w:val="18"/>
                <w:lang w:val="en-US"/>
              </w:rPr>
              <w:t>是</w:t>
            </w:r>
            <w:bookmarkEnd w:id="132"/>
          </w:p>
        </w:tc>
      </w:tr>
    </w:tbl>
    <w:p w14:paraId="16E0F9E0">
      <w:pPr>
        <w:pStyle w:val="5"/>
      </w:pPr>
      <w:bookmarkStart w:id="133" w:name="_Toc504501018"/>
      <w:bookmarkStart w:id="134" w:name="_Toc509844763"/>
      <w:r>
        <w:rPr>
          <w:rFonts w:hint="eastAsia"/>
        </w:rPr>
        <w:t>外窗内外表面风压</w:t>
      </w:r>
      <w:bookmarkEnd w:id="133"/>
      <w:r>
        <w:rPr>
          <w:rFonts w:hint="eastAsia"/>
        </w:rPr>
        <w:t>差达标分析</w:t>
      </w:r>
      <w:bookmarkEnd w:id="134"/>
    </w:p>
    <w:p w14:paraId="0FC0B727">
      <w:pPr>
        <w:ind w:firstLine="420"/>
      </w:pPr>
      <w:r>
        <w:rPr>
          <w:rFonts w:hint="eastAsia"/>
          <w:lang w:val="en-US"/>
        </w:rPr>
        <w:t>分析《绿色建筑评价标准》，</w:t>
      </w:r>
      <w:bookmarkStart w:id="135" w:name="季节9"/>
      <w:r>
        <w:rPr>
          <w:rFonts w:hint="eastAsia"/>
          <w:lang w:val="en-US"/>
        </w:rPr>
        <w:t>夏季</w:t>
      </w:r>
      <w:bookmarkEnd w:id="135"/>
      <w:r>
        <w:rPr>
          <w:rFonts w:hint="eastAsia"/>
          <w:lang w:val="en-US"/>
        </w:rPr>
        <w:t>为充分利用自然通风获得良好的室内风环境，要求50%以上可开启外窗室内外表面的风压差大于0.5Pa。</w:t>
      </w:r>
    </w:p>
    <w:p w14:paraId="2C16B82F">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2D5C9716">
      <w:pPr>
        <w:ind w:firstLine="420"/>
      </w:pPr>
      <w:r>
        <w:rPr>
          <w:rFonts w:hint="eastAsia"/>
          <w:lang w:val="en-US"/>
        </w:rPr>
        <w:t>下图为夏季工况下，建筑迎风面和背风面对应外窗表面的风压分布图，结合图例数值可以清晰看到外窗表面风压小于0.5Pa的外窗区域。</w:t>
      </w:r>
    </w:p>
    <w:p w14:paraId="43EA2AE6">
      <w:pPr>
        <w:pStyle w:val="3"/>
        <w:ind w:firstLine="0" w:firstLineChars="0"/>
        <w:jc w:val="center"/>
        <w:rPr>
          <w:rFonts w:ascii="微软雅黑" w:hAnsi="微软雅黑" w:eastAsia="微软雅黑"/>
        </w:rPr>
      </w:pPr>
      <w:bookmarkStart w:id="136" w:name="迎风面风压云图"/>
      <w:bookmarkEnd w:id="136"/>
      <w:r>
        <w:drawing>
          <wp:inline distT="0" distB="0" distL="0" distR="0">
            <wp:extent cx="5667375" cy="33528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2"/>
                    <a:stretch>
                      <a:fillRect/>
                    </a:stretch>
                  </pic:blipFill>
                  <pic:spPr>
                    <a:xfrm>
                      <a:off x="0" y="0"/>
                      <a:ext cx="5667375" cy="3352800"/>
                    </a:xfrm>
                    <a:prstGeom prst="rect">
                      <a:avLst/>
                    </a:prstGeom>
                  </pic:spPr>
                </pic:pic>
              </a:graphicData>
            </a:graphic>
          </wp:inline>
        </w:drawing>
      </w:r>
    </w:p>
    <w:p w14:paraId="41C3789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7" w:name="季节10"/>
      <w:r>
        <w:rPr>
          <w:rFonts w:hint="eastAsia" w:ascii="微软雅黑" w:hAnsi="微软雅黑" w:eastAsia="微软雅黑"/>
          <w:sz w:val="18"/>
          <w:szCs w:val="18"/>
        </w:rPr>
        <w:t>夏季</w:t>
      </w:r>
      <w:bookmarkEnd w:id="137"/>
    </w:p>
    <w:p w14:paraId="74CE1B12">
      <w:pPr>
        <w:jc w:val="center"/>
        <w:rPr>
          <w:rFonts w:ascii="微软雅黑" w:hAnsi="微软雅黑" w:eastAsia="微软雅黑"/>
        </w:rPr>
      </w:pPr>
      <w:bookmarkStart w:id="138" w:name="背风面风压云图"/>
      <w:bookmarkEnd w:id="138"/>
      <w:r>
        <w:drawing>
          <wp:inline distT="0" distB="0" distL="0" distR="0">
            <wp:extent cx="5667375" cy="33623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3"/>
                    <a:stretch>
                      <a:fillRect/>
                    </a:stretch>
                  </pic:blipFill>
                  <pic:spPr>
                    <a:xfrm>
                      <a:off x="0" y="0"/>
                      <a:ext cx="5667375" cy="3362325"/>
                    </a:xfrm>
                    <a:prstGeom prst="rect">
                      <a:avLst/>
                    </a:prstGeom>
                  </pic:spPr>
                </pic:pic>
              </a:graphicData>
            </a:graphic>
          </wp:inline>
        </w:drawing>
      </w:r>
    </w:p>
    <w:p w14:paraId="389E77E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9" w:name="季节11"/>
      <w:r>
        <w:rPr>
          <w:rFonts w:hint="eastAsia" w:ascii="微软雅黑" w:hAnsi="微软雅黑" w:eastAsia="微软雅黑"/>
          <w:sz w:val="18"/>
          <w:szCs w:val="18"/>
        </w:rPr>
        <w:t>夏季</w:t>
      </w:r>
      <w:bookmarkEnd w:id="139"/>
      <w:r>
        <w:rPr>
          <w:rFonts w:hint="eastAsia" w:ascii="微软雅黑" w:hAnsi="微软雅黑" w:eastAsia="微软雅黑"/>
          <w:sz w:val="18"/>
          <w:szCs w:val="18"/>
        </w:rPr>
        <w:t xml:space="preserve"> </w:t>
      </w:r>
    </w:p>
    <w:p w14:paraId="1A545D6E">
      <w:pPr>
        <w:ind w:firstLine="420"/>
      </w:pPr>
      <w:r>
        <w:rPr>
          <w:rFonts w:hint="eastAsia"/>
        </w:rPr>
        <w:t>下表为依据上图提取的外窗外表面平均风压数据，相当于外窗室内外表面风压差数据，并依据标准做出达标判断：</w:t>
      </w:r>
    </w:p>
    <w:p w14:paraId="4AD0E47A">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7E3FA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blHeader/>
        </w:trPr>
        <w:tc>
          <w:tcPr>
            <w:tcW w:w="1254" w:type="dxa"/>
            <w:shd w:val="clear" w:color="auto" w:fill="E6E6E6"/>
            <w:vAlign w:val="center"/>
          </w:tcPr>
          <w:p w14:paraId="092ED840">
            <w:pPr>
              <w:jc w:val="center"/>
              <w:rPr>
                <w:sz w:val="18"/>
                <w:szCs w:val="18"/>
                <w:lang w:val="en-US"/>
              </w:rPr>
            </w:pPr>
            <w:bookmarkStart w:id="140" w:name="建筑外窗室内外风压差达标判定"/>
            <w:r>
              <w:rPr>
                <w:rFonts w:hint="eastAsia"/>
                <w:sz w:val="18"/>
                <w:szCs w:val="18"/>
                <w:lang w:val="en-US"/>
              </w:rPr>
              <w:t>建筑编号</w:t>
            </w:r>
          </w:p>
        </w:tc>
        <w:tc>
          <w:tcPr>
            <w:tcW w:w="1559" w:type="dxa"/>
            <w:shd w:val="clear" w:color="auto" w:fill="E6E6E6"/>
            <w:vAlign w:val="center"/>
          </w:tcPr>
          <w:p w14:paraId="33ECD62B">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465FF6C8">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09A4BBBA">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694246EA">
            <w:pPr>
              <w:jc w:val="center"/>
              <w:rPr>
                <w:sz w:val="18"/>
                <w:szCs w:val="18"/>
                <w:lang w:val="en-US"/>
              </w:rPr>
            </w:pPr>
            <w:r>
              <w:rPr>
                <w:rFonts w:hint="eastAsia"/>
                <w:sz w:val="18"/>
                <w:szCs w:val="18"/>
                <w:lang w:val="en-US"/>
              </w:rPr>
              <w:t>是否达标</w:t>
            </w:r>
          </w:p>
        </w:tc>
      </w:tr>
      <w:tr w14:paraId="0986D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1989EBD6">
            <w:pPr>
              <w:jc w:val="center"/>
              <w:rPr>
                <w:sz w:val="18"/>
                <w:szCs w:val="18"/>
                <w:lang w:val="en-US"/>
              </w:rPr>
            </w:pPr>
            <w:r>
              <w:rPr>
                <w:sz w:val="18"/>
                <w:szCs w:val="18"/>
                <w:lang w:val="en-US"/>
              </w:rPr>
              <w:t>三稿平面_T8</w:t>
            </w:r>
          </w:p>
        </w:tc>
        <w:tc>
          <w:tcPr>
            <w:tcW w:w="1559" w:type="dxa"/>
            <w:shd w:val="clear" w:color="auto" w:fill="auto"/>
            <w:vAlign w:val="center"/>
          </w:tcPr>
          <w:p w14:paraId="3EBFF9C8">
            <w:pPr>
              <w:jc w:val="center"/>
              <w:rPr>
                <w:sz w:val="18"/>
                <w:szCs w:val="18"/>
                <w:lang w:val="en-US"/>
              </w:rPr>
            </w:pPr>
            <w:r>
              <w:rPr>
                <w:sz w:val="18"/>
                <w:szCs w:val="18"/>
                <w:lang w:val="en-US"/>
              </w:rPr>
              <w:t>223</w:t>
            </w:r>
          </w:p>
        </w:tc>
        <w:tc>
          <w:tcPr>
            <w:tcW w:w="3544" w:type="dxa"/>
            <w:shd w:val="clear" w:color="auto" w:fill="auto"/>
            <w:vAlign w:val="center"/>
          </w:tcPr>
          <w:p w14:paraId="56C7D4D1">
            <w:pPr>
              <w:jc w:val="center"/>
              <w:rPr>
                <w:sz w:val="18"/>
                <w:szCs w:val="18"/>
                <w:lang w:val="en-US"/>
              </w:rPr>
            </w:pPr>
            <w:r>
              <w:rPr>
                <w:sz w:val="18"/>
                <w:szCs w:val="18"/>
                <w:lang w:val="en-US"/>
              </w:rPr>
              <w:t>166</w:t>
            </w:r>
          </w:p>
        </w:tc>
        <w:tc>
          <w:tcPr>
            <w:tcW w:w="1116" w:type="dxa"/>
            <w:shd w:val="clear" w:color="auto" w:fill="auto"/>
            <w:vAlign w:val="center"/>
          </w:tcPr>
          <w:p w14:paraId="099F70AD">
            <w:pPr>
              <w:jc w:val="center"/>
              <w:rPr>
                <w:sz w:val="18"/>
                <w:szCs w:val="18"/>
                <w:lang w:val="en-US"/>
              </w:rPr>
            </w:pPr>
            <w:r>
              <w:rPr>
                <w:sz w:val="18"/>
                <w:szCs w:val="18"/>
                <w:lang w:val="en-US"/>
              </w:rPr>
              <w:t>74.44</w:t>
            </w:r>
          </w:p>
        </w:tc>
        <w:tc>
          <w:tcPr>
            <w:tcW w:w="1011" w:type="dxa"/>
            <w:shd w:val="clear" w:color="auto" w:fill="auto"/>
            <w:vAlign w:val="center"/>
          </w:tcPr>
          <w:p w14:paraId="67FF0D49">
            <w:pPr>
              <w:jc w:val="center"/>
              <w:rPr>
                <w:sz w:val="18"/>
                <w:szCs w:val="18"/>
                <w:lang w:val="en-US"/>
              </w:rPr>
            </w:pPr>
            <w:r>
              <w:rPr>
                <w:sz w:val="18"/>
                <w:szCs w:val="18"/>
                <w:lang w:val="en-US"/>
              </w:rPr>
              <w:t>是</w:t>
            </w:r>
          </w:p>
        </w:tc>
      </w:tr>
      <w:bookmarkEnd w:id="140"/>
    </w:tbl>
    <w:p w14:paraId="4FD5E31B">
      <w:pPr>
        <w:rPr>
          <w:sz w:val="18"/>
          <w:szCs w:val="18"/>
        </w:rPr>
      </w:pPr>
      <w:r>
        <w:rPr>
          <w:rFonts w:hint="eastAsia"/>
          <w:sz w:val="18"/>
          <w:szCs w:val="18"/>
          <w:lang w:val="en-US"/>
        </w:rPr>
        <w:t>说明：达标比例＝（室内外风压差大于0.5Pa的总数/可开启外窗总数）*100％</w:t>
      </w:r>
    </w:p>
    <w:p w14:paraId="2868404D">
      <w:pPr>
        <w:rPr>
          <w:lang w:val="en-US"/>
        </w:rPr>
      </w:pPr>
    </w:p>
    <w:p w14:paraId="5B78493E">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014CA05B">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25333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250A1065">
            <w:pPr>
              <w:jc w:val="center"/>
              <w:rPr>
                <w:sz w:val="18"/>
                <w:szCs w:val="18"/>
                <w:lang w:val="en-US"/>
              </w:rPr>
            </w:pPr>
            <w:bookmarkStart w:id="141" w:name="建筑室内外风压差达标判定"/>
            <w:r>
              <w:rPr>
                <w:rFonts w:hint="eastAsia"/>
                <w:sz w:val="18"/>
                <w:szCs w:val="18"/>
                <w:lang w:val="en-US"/>
              </w:rPr>
              <w:t>建筑编号</w:t>
            </w:r>
          </w:p>
        </w:tc>
        <w:tc>
          <w:tcPr>
            <w:tcW w:w="1418" w:type="dxa"/>
            <w:shd w:val="clear" w:color="auto" w:fill="E6E6E6"/>
            <w:vAlign w:val="center"/>
          </w:tcPr>
          <w:p w14:paraId="7C7D9A98">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2C872A02">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33FA7135">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70CA1870">
            <w:pPr>
              <w:jc w:val="center"/>
              <w:rPr>
                <w:sz w:val="18"/>
                <w:szCs w:val="18"/>
                <w:lang w:val="en-US"/>
              </w:rPr>
            </w:pPr>
            <w:r>
              <w:rPr>
                <w:rFonts w:hint="eastAsia"/>
                <w:sz w:val="18"/>
                <w:szCs w:val="18"/>
                <w:lang w:val="en-US"/>
              </w:rPr>
              <w:t>是否达标</w:t>
            </w:r>
          </w:p>
        </w:tc>
      </w:tr>
      <w:tr w14:paraId="33206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1535A46">
            <w:pPr>
              <w:spacing w:line="440" w:lineRule="exact"/>
              <w:jc w:val="center"/>
              <w:rPr>
                <w:sz w:val="18"/>
                <w:szCs w:val="18"/>
                <w:lang w:val="en-US"/>
              </w:rPr>
            </w:pPr>
            <w:r>
              <w:rPr>
                <w:sz w:val="18"/>
                <w:szCs w:val="18"/>
                <w:lang w:val="en-US"/>
              </w:rPr>
              <w:t>39</w:t>
            </w:r>
          </w:p>
        </w:tc>
        <w:tc>
          <w:tcPr>
            <w:tcW w:w="1418" w:type="dxa"/>
            <w:vAlign w:val="center"/>
          </w:tcPr>
          <w:p w14:paraId="462368AD">
            <w:pPr>
              <w:spacing w:line="440" w:lineRule="exact"/>
              <w:jc w:val="center"/>
              <w:rPr>
                <w:sz w:val="18"/>
                <w:szCs w:val="18"/>
                <w:lang w:val="en-US"/>
              </w:rPr>
            </w:pPr>
            <w:r>
              <w:rPr>
                <w:sz w:val="18"/>
                <w:szCs w:val="18"/>
                <w:lang w:val="en-US"/>
              </w:rPr>
              <w:t>426.55</w:t>
            </w:r>
          </w:p>
        </w:tc>
        <w:tc>
          <w:tcPr>
            <w:tcW w:w="3260" w:type="dxa"/>
            <w:vAlign w:val="center"/>
          </w:tcPr>
          <w:p w14:paraId="625C8204">
            <w:pPr>
              <w:spacing w:line="440" w:lineRule="exact"/>
              <w:jc w:val="center"/>
              <w:rPr>
                <w:sz w:val="18"/>
                <w:szCs w:val="18"/>
                <w:lang w:val="en-US"/>
              </w:rPr>
            </w:pPr>
            <w:r>
              <w:rPr>
                <w:sz w:val="18"/>
                <w:szCs w:val="18"/>
                <w:lang w:val="en-US"/>
              </w:rPr>
              <w:t>426.55</w:t>
            </w:r>
          </w:p>
        </w:tc>
        <w:tc>
          <w:tcPr>
            <w:tcW w:w="1276" w:type="dxa"/>
            <w:vAlign w:val="center"/>
          </w:tcPr>
          <w:p w14:paraId="4316086D">
            <w:pPr>
              <w:spacing w:line="440" w:lineRule="exact"/>
              <w:jc w:val="center"/>
              <w:rPr>
                <w:sz w:val="18"/>
                <w:szCs w:val="18"/>
                <w:lang w:val="en-US"/>
              </w:rPr>
            </w:pPr>
            <w:r>
              <w:rPr>
                <w:sz w:val="18"/>
                <w:szCs w:val="18"/>
                <w:lang w:val="en-US"/>
              </w:rPr>
              <w:t>100.00</w:t>
            </w:r>
          </w:p>
        </w:tc>
        <w:tc>
          <w:tcPr>
            <w:tcW w:w="1073" w:type="dxa"/>
            <w:vAlign w:val="center"/>
          </w:tcPr>
          <w:p w14:paraId="7441FEA0">
            <w:pPr>
              <w:spacing w:line="440" w:lineRule="exact"/>
              <w:jc w:val="center"/>
              <w:rPr>
                <w:sz w:val="18"/>
                <w:szCs w:val="18"/>
                <w:lang w:val="en-US"/>
              </w:rPr>
            </w:pPr>
            <w:r>
              <w:rPr>
                <w:sz w:val="18"/>
                <w:szCs w:val="18"/>
                <w:lang w:val="en-US"/>
              </w:rPr>
              <w:t>是</w:t>
            </w:r>
          </w:p>
        </w:tc>
      </w:tr>
      <w:tr w14:paraId="259AA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13E88AA">
            <w:pPr>
              <w:spacing w:line="440" w:lineRule="exact"/>
              <w:jc w:val="center"/>
              <w:rPr>
                <w:sz w:val="18"/>
                <w:szCs w:val="18"/>
                <w:lang w:val="en-US"/>
              </w:rPr>
            </w:pPr>
            <w:r>
              <w:rPr>
                <w:sz w:val="18"/>
                <w:szCs w:val="18"/>
                <w:lang w:val="en-US"/>
              </w:rPr>
              <w:t>40</w:t>
            </w:r>
          </w:p>
        </w:tc>
        <w:tc>
          <w:tcPr>
            <w:tcW w:w="1418" w:type="dxa"/>
            <w:vAlign w:val="center"/>
          </w:tcPr>
          <w:p w14:paraId="582226A6">
            <w:pPr>
              <w:spacing w:line="440" w:lineRule="exact"/>
              <w:jc w:val="center"/>
              <w:rPr>
                <w:sz w:val="18"/>
                <w:szCs w:val="18"/>
                <w:lang w:val="en-US"/>
              </w:rPr>
            </w:pPr>
            <w:r>
              <w:rPr>
                <w:sz w:val="18"/>
                <w:szCs w:val="18"/>
                <w:lang w:val="en-US"/>
              </w:rPr>
              <w:t>506.82</w:t>
            </w:r>
          </w:p>
        </w:tc>
        <w:tc>
          <w:tcPr>
            <w:tcW w:w="3260" w:type="dxa"/>
            <w:vAlign w:val="center"/>
          </w:tcPr>
          <w:p w14:paraId="39715F73">
            <w:pPr>
              <w:spacing w:line="440" w:lineRule="exact"/>
              <w:jc w:val="center"/>
              <w:rPr>
                <w:sz w:val="18"/>
                <w:szCs w:val="18"/>
                <w:lang w:val="en-US"/>
              </w:rPr>
            </w:pPr>
            <w:r>
              <w:rPr>
                <w:sz w:val="18"/>
                <w:szCs w:val="18"/>
                <w:lang w:val="en-US"/>
              </w:rPr>
              <w:t>506.82</w:t>
            </w:r>
          </w:p>
        </w:tc>
        <w:tc>
          <w:tcPr>
            <w:tcW w:w="1276" w:type="dxa"/>
            <w:vAlign w:val="center"/>
          </w:tcPr>
          <w:p w14:paraId="5991A8C2">
            <w:pPr>
              <w:spacing w:line="440" w:lineRule="exact"/>
              <w:jc w:val="center"/>
              <w:rPr>
                <w:sz w:val="18"/>
                <w:szCs w:val="18"/>
                <w:lang w:val="en-US"/>
              </w:rPr>
            </w:pPr>
            <w:r>
              <w:rPr>
                <w:sz w:val="18"/>
                <w:szCs w:val="18"/>
                <w:lang w:val="en-US"/>
              </w:rPr>
              <w:t>100.00</w:t>
            </w:r>
          </w:p>
        </w:tc>
        <w:tc>
          <w:tcPr>
            <w:tcW w:w="1073" w:type="dxa"/>
            <w:vAlign w:val="center"/>
          </w:tcPr>
          <w:p w14:paraId="6ACE4139">
            <w:pPr>
              <w:spacing w:line="440" w:lineRule="exact"/>
              <w:jc w:val="center"/>
              <w:rPr>
                <w:sz w:val="18"/>
                <w:szCs w:val="18"/>
                <w:lang w:val="en-US"/>
              </w:rPr>
            </w:pPr>
            <w:r>
              <w:rPr>
                <w:sz w:val="18"/>
                <w:szCs w:val="18"/>
                <w:lang w:val="en-US"/>
              </w:rPr>
              <w:t>是</w:t>
            </w:r>
          </w:p>
        </w:tc>
      </w:tr>
      <w:tr w14:paraId="42FA1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5DD0391">
            <w:pPr>
              <w:spacing w:line="440" w:lineRule="exact"/>
              <w:jc w:val="center"/>
              <w:rPr>
                <w:sz w:val="18"/>
                <w:szCs w:val="18"/>
                <w:lang w:val="en-US"/>
              </w:rPr>
            </w:pPr>
            <w:r>
              <w:rPr>
                <w:sz w:val="18"/>
                <w:szCs w:val="18"/>
                <w:lang w:val="en-US"/>
              </w:rPr>
              <w:t>49</w:t>
            </w:r>
          </w:p>
        </w:tc>
        <w:tc>
          <w:tcPr>
            <w:tcW w:w="1418" w:type="dxa"/>
            <w:vAlign w:val="center"/>
          </w:tcPr>
          <w:p w14:paraId="657D83EA">
            <w:pPr>
              <w:spacing w:line="440" w:lineRule="exact"/>
              <w:jc w:val="center"/>
              <w:rPr>
                <w:sz w:val="18"/>
                <w:szCs w:val="18"/>
                <w:lang w:val="en-US"/>
              </w:rPr>
            </w:pPr>
            <w:r>
              <w:rPr>
                <w:sz w:val="18"/>
                <w:szCs w:val="18"/>
                <w:lang w:val="en-US"/>
              </w:rPr>
              <w:t>206.40</w:t>
            </w:r>
          </w:p>
        </w:tc>
        <w:tc>
          <w:tcPr>
            <w:tcW w:w="3260" w:type="dxa"/>
            <w:vAlign w:val="center"/>
          </w:tcPr>
          <w:p w14:paraId="0BBECA34">
            <w:pPr>
              <w:spacing w:line="440" w:lineRule="exact"/>
              <w:jc w:val="center"/>
              <w:rPr>
                <w:sz w:val="18"/>
                <w:szCs w:val="18"/>
                <w:lang w:val="en-US"/>
              </w:rPr>
            </w:pPr>
            <w:r>
              <w:rPr>
                <w:sz w:val="18"/>
                <w:szCs w:val="18"/>
                <w:lang w:val="en-US"/>
              </w:rPr>
              <w:t>206.40</w:t>
            </w:r>
          </w:p>
        </w:tc>
        <w:tc>
          <w:tcPr>
            <w:tcW w:w="1276" w:type="dxa"/>
            <w:vAlign w:val="center"/>
          </w:tcPr>
          <w:p w14:paraId="1ED76DBD">
            <w:pPr>
              <w:spacing w:line="440" w:lineRule="exact"/>
              <w:jc w:val="center"/>
              <w:rPr>
                <w:sz w:val="18"/>
                <w:szCs w:val="18"/>
                <w:lang w:val="en-US"/>
              </w:rPr>
            </w:pPr>
            <w:r>
              <w:rPr>
                <w:sz w:val="18"/>
                <w:szCs w:val="18"/>
                <w:lang w:val="en-US"/>
              </w:rPr>
              <w:t>100.00</w:t>
            </w:r>
          </w:p>
        </w:tc>
        <w:tc>
          <w:tcPr>
            <w:tcW w:w="1073" w:type="dxa"/>
            <w:vAlign w:val="center"/>
          </w:tcPr>
          <w:p w14:paraId="258EB7F7">
            <w:pPr>
              <w:spacing w:line="440" w:lineRule="exact"/>
              <w:jc w:val="center"/>
              <w:rPr>
                <w:sz w:val="18"/>
                <w:szCs w:val="18"/>
                <w:lang w:val="en-US"/>
              </w:rPr>
            </w:pPr>
            <w:r>
              <w:rPr>
                <w:sz w:val="18"/>
                <w:szCs w:val="18"/>
                <w:lang w:val="en-US"/>
              </w:rPr>
              <w:t>是</w:t>
            </w:r>
          </w:p>
        </w:tc>
      </w:tr>
      <w:tr w14:paraId="7B916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E5AA755">
            <w:pPr>
              <w:spacing w:line="440" w:lineRule="exact"/>
              <w:jc w:val="center"/>
              <w:rPr>
                <w:sz w:val="18"/>
                <w:szCs w:val="18"/>
                <w:lang w:val="en-US"/>
              </w:rPr>
            </w:pPr>
            <w:r>
              <w:rPr>
                <w:sz w:val="18"/>
                <w:szCs w:val="18"/>
                <w:lang w:val="en-US"/>
              </w:rPr>
              <w:t>51</w:t>
            </w:r>
          </w:p>
        </w:tc>
        <w:tc>
          <w:tcPr>
            <w:tcW w:w="1418" w:type="dxa"/>
            <w:vAlign w:val="center"/>
          </w:tcPr>
          <w:p w14:paraId="28D3BE11">
            <w:pPr>
              <w:spacing w:line="440" w:lineRule="exact"/>
              <w:jc w:val="center"/>
              <w:rPr>
                <w:sz w:val="18"/>
                <w:szCs w:val="18"/>
                <w:lang w:val="en-US"/>
              </w:rPr>
            </w:pPr>
            <w:r>
              <w:rPr>
                <w:sz w:val="18"/>
                <w:szCs w:val="18"/>
                <w:lang w:val="en-US"/>
              </w:rPr>
              <w:t>673.22</w:t>
            </w:r>
          </w:p>
        </w:tc>
        <w:tc>
          <w:tcPr>
            <w:tcW w:w="3260" w:type="dxa"/>
            <w:vAlign w:val="center"/>
          </w:tcPr>
          <w:p w14:paraId="7DA3017A">
            <w:pPr>
              <w:spacing w:line="440" w:lineRule="exact"/>
              <w:jc w:val="center"/>
              <w:rPr>
                <w:sz w:val="18"/>
                <w:szCs w:val="18"/>
                <w:lang w:val="en-US"/>
              </w:rPr>
            </w:pPr>
            <w:r>
              <w:rPr>
                <w:sz w:val="18"/>
                <w:szCs w:val="18"/>
                <w:lang w:val="en-US"/>
              </w:rPr>
              <w:t>661.87</w:t>
            </w:r>
          </w:p>
        </w:tc>
        <w:tc>
          <w:tcPr>
            <w:tcW w:w="1276" w:type="dxa"/>
            <w:vAlign w:val="center"/>
          </w:tcPr>
          <w:p w14:paraId="4F7010A4">
            <w:pPr>
              <w:spacing w:line="440" w:lineRule="exact"/>
              <w:jc w:val="center"/>
              <w:rPr>
                <w:sz w:val="18"/>
                <w:szCs w:val="18"/>
                <w:lang w:val="en-US"/>
              </w:rPr>
            </w:pPr>
            <w:r>
              <w:rPr>
                <w:sz w:val="18"/>
                <w:szCs w:val="18"/>
                <w:lang w:val="en-US"/>
              </w:rPr>
              <w:t>98.31</w:t>
            </w:r>
          </w:p>
        </w:tc>
        <w:tc>
          <w:tcPr>
            <w:tcW w:w="1073" w:type="dxa"/>
            <w:vAlign w:val="center"/>
          </w:tcPr>
          <w:p w14:paraId="347B9F56">
            <w:pPr>
              <w:spacing w:line="440" w:lineRule="exact"/>
              <w:jc w:val="center"/>
              <w:rPr>
                <w:sz w:val="18"/>
                <w:szCs w:val="18"/>
                <w:lang w:val="en-US"/>
              </w:rPr>
            </w:pPr>
            <w:r>
              <w:rPr>
                <w:sz w:val="18"/>
                <w:szCs w:val="18"/>
                <w:lang w:val="en-US"/>
              </w:rPr>
              <w:t>是</w:t>
            </w:r>
          </w:p>
        </w:tc>
      </w:tr>
      <w:tr w14:paraId="2D474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EB5B925">
            <w:pPr>
              <w:spacing w:line="440" w:lineRule="exact"/>
              <w:jc w:val="center"/>
              <w:rPr>
                <w:sz w:val="18"/>
                <w:szCs w:val="18"/>
                <w:lang w:val="en-US"/>
              </w:rPr>
            </w:pPr>
            <w:r>
              <w:rPr>
                <w:sz w:val="18"/>
                <w:szCs w:val="18"/>
                <w:lang w:val="en-US"/>
              </w:rPr>
              <w:t>52</w:t>
            </w:r>
          </w:p>
        </w:tc>
        <w:tc>
          <w:tcPr>
            <w:tcW w:w="1418" w:type="dxa"/>
            <w:vAlign w:val="center"/>
          </w:tcPr>
          <w:p w14:paraId="167EFE08">
            <w:pPr>
              <w:spacing w:line="440" w:lineRule="exact"/>
              <w:jc w:val="center"/>
              <w:rPr>
                <w:sz w:val="18"/>
                <w:szCs w:val="18"/>
                <w:lang w:val="en-US"/>
              </w:rPr>
            </w:pPr>
            <w:r>
              <w:rPr>
                <w:sz w:val="18"/>
                <w:szCs w:val="18"/>
                <w:lang w:val="en-US"/>
              </w:rPr>
              <w:t>524.95</w:t>
            </w:r>
          </w:p>
        </w:tc>
        <w:tc>
          <w:tcPr>
            <w:tcW w:w="3260" w:type="dxa"/>
            <w:vAlign w:val="center"/>
          </w:tcPr>
          <w:p w14:paraId="095D2F1C">
            <w:pPr>
              <w:spacing w:line="440" w:lineRule="exact"/>
              <w:jc w:val="center"/>
              <w:rPr>
                <w:sz w:val="18"/>
                <w:szCs w:val="18"/>
                <w:lang w:val="en-US"/>
              </w:rPr>
            </w:pPr>
            <w:r>
              <w:rPr>
                <w:sz w:val="18"/>
                <w:szCs w:val="18"/>
                <w:lang w:val="en-US"/>
              </w:rPr>
              <w:t>522.15</w:t>
            </w:r>
          </w:p>
        </w:tc>
        <w:tc>
          <w:tcPr>
            <w:tcW w:w="1276" w:type="dxa"/>
            <w:vAlign w:val="center"/>
          </w:tcPr>
          <w:p w14:paraId="7778D78E">
            <w:pPr>
              <w:spacing w:line="440" w:lineRule="exact"/>
              <w:jc w:val="center"/>
              <w:rPr>
                <w:sz w:val="18"/>
                <w:szCs w:val="18"/>
                <w:lang w:val="en-US"/>
              </w:rPr>
            </w:pPr>
            <w:r>
              <w:rPr>
                <w:sz w:val="18"/>
                <w:szCs w:val="18"/>
                <w:lang w:val="en-US"/>
              </w:rPr>
              <w:t>99.47</w:t>
            </w:r>
          </w:p>
        </w:tc>
        <w:tc>
          <w:tcPr>
            <w:tcW w:w="1073" w:type="dxa"/>
            <w:vAlign w:val="center"/>
          </w:tcPr>
          <w:p w14:paraId="3AA7866D">
            <w:pPr>
              <w:spacing w:line="440" w:lineRule="exact"/>
              <w:jc w:val="center"/>
              <w:rPr>
                <w:sz w:val="18"/>
                <w:szCs w:val="18"/>
                <w:lang w:val="en-US"/>
              </w:rPr>
            </w:pPr>
            <w:r>
              <w:rPr>
                <w:sz w:val="18"/>
                <w:szCs w:val="18"/>
                <w:lang w:val="en-US"/>
              </w:rPr>
              <w:t>是</w:t>
            </w:r>
          </w:p>
        </w:tc>
      </w:tr>
      <w:tr w14:paraId="10560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02186BFE">
            <w:pPr>
              <w:spacing w:line="440" w:lineRule="exact"/>
              <w:jc w:val="center"/>
              <w:rPr>
                <w:sz w:val="18"/>
                <w:szCs w:val="18"/>
                <w:lang w:val="en-US"/>
              </w:rPr>
            </w:pPr>
            <w:r>
              <w:rPr>
                <w:sz w:val="18"/>
                <w:szCs w:val="18"/>
                <w:lang w:val="en-US"/>
              </w:rPr>
              <w:t>建筑物19</w:t>
            </w:r>
          </w:p>
        </w:tc>
        <w:tc>
          <w:tcPr>
            <w:tcW w:w="1418" w:type="dxa"/>
            <w:vAlign w:val="center"/>
          </w:tcPr>
          <w:p w14:paraId="36B1B81E">
            <w:pPr>
              <w:spacing w:line="440" w:lineRule="exact"/>
              <w:jc w:val="center"/>
              <w:rPr>
                <w:sz w:val="18"/>
                <w:szCs w:val="18"/>
                <w:lang w:val="en-US"/>
              </w:rPr>
            </w:pPr>
            <w:r>
              <w:rPr>
                <w:sz w:val="18"/>
                <w:szCs w:val="18"/>
                <w:lang w:val="en-US"/>
              </w:rPr>
              <w:t>401.90</w:t>
            </w:r>
          </w:p>
        </w:tc>
        <w:tc>
          <w:tcPr>
            <w:tcW w:w="3260" w:type="dxa"/>
            <w:vAlign w:val="center"/>
          </w:tcPr>
          <w:p w14:paraId="3375FF50">
            <w:pPr>
              <w:spacing w:line="440" w:lineRule="exact"/>
              <w:jc w:val="center"/>
              <w:rPr>
                <w:sz w:val="18"/>
                <w:szCs w:val="18"/>
                <w:lang w:val="en-US"/>
              </w:rPr>
            </w:pPr>
            <w:r>
              <w:rPr>
                <w:sz w:val="18"/>
                <w:szCs w:val="18"/>
                <w:lang w:val="en-US"/>
              </w:rPr>
              <w:t>401.90</w:t>
            </w:r>
          </w:p>
        </w:tc>
        <w:tc>
          <w:tcPr>
            <w:tcW w:w="1276" w:type="dxa"/>
            <w:vAlign w:val="center"/>
          </w:tcPr>
          <w:p w14:paraId="522C1F57">
            <w:pPr>
              <w:spacing w:line="440" w:lineRule="exact"/>
              <w:jc w:val="center"/>
              <w:rPr>
                <w:sz w:val="18"/>
                <w:szCs w:val="18"/>
                <w:lang w:val="en-US"/>
              </w:rPr>
            </w:pPr>
            <w:r>
              <w:rPr>
                <w:sz w:val="18"/>
                <w:szCs w:val="18"/>
                <w:lang w:val="en-US"/>
              </w:rPr>
              <w:t>100.00</w:t>
            </w:r>
          </w:p>
        </w:tc>
        <w:tc>
          <w:tcPr>
            <w:tcW w:w="1073" w:type="dxa"/>
            <w:vAlign w:val="center"/>
          </w:tcPr>
          <w:p w14:paraId="0E89B6FF">
            <w:pPr>
              <w:spacing w:line="440" w:lineRule="exact"/>
              <w:jc w:val="center"/>
              <w:rPr>
                <w:sz w:val="18"/>
                <w:szCs w:val="18"/>
                <w:lang w:val="en-US"/>
              </w:rPr>
            </w:pPr>
            <w:r>
              <w:rPr>
                <w:sz w:val="18"/>
                <w:szCs w:val="18"/>
                <w:lang w:val="en-US"/>
              </w:rPr>
              <w:t>是</w:t>
            </w:r>
          </w:p>
        </w:tc>
      </w:tr>
      <w:tr w14:paraId="0EED7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6E1FFB7">
            <w:pPr>
              <w:spacing w:line="440" w:lineRule="exact"/>
              <w:jc w:val="center"/>
              <w:rPr>
                <w:sz w:val="18"/>
                <w:szCs w:val="18"/>
                <w:lang w:val="en-US"/>
              </w:rPr>
            </w:pPr>
            <w:r>
              <w:rPr>
                <w:sz w:val="18"/>
                <w:szCs w:val="18"/>
                <w:lang w:val="en-US"/>
              </w:rPr>
              <w:t>建筑物20</w:t>
            </w:r>
          </w:p>
        </w:tc>
        <w:tc>
          <w:tcPr>
            <w:tcW w:w="1418" w:type="dxa"/>
            <w:vAlign w:val="center"/>
          </w:tcPr>
          <w:p w14:paraId="1FEB8D7B">
            <w:pPr>
              <w:spacing w:line="440" w:lineRule="exact"/>
              <w:jc w:val="center"/>
              <w:rPr>
                <w:sz w:val="18"/>
                <w:szCs w:val="18"/>
                <w:lang w:val="en-US"/>
              </w:rPr>
            </w:pPr>
            <w:r>
              <w:rPr>
                <w:sz w:val="18"/>
                <w:szCs w:val="18"/>
                <w:lang w:val="en-US"/>
              </w:rPr>
              <w:t>450.08</w:t>
            </w:r>
          </w:p>
        </w:tc>
        <w:tc>
          <w:tcPr>
            <w:tcW w:w="3260" w:type="dxa"/>
            <w:vAlign w:val="center"/>
          </w:tcPr>
          <w:p w14:paraId="7106D877">
            <w:pPr>
              <w:spacing w:line="440" w:lineRule="exact"/>
              <w:jc w:val="center"/>
              <w:rPr>
                <w:sz w:val="18"/>
                <w:szCs w:val="18"/>
                <w:lang w:val="en-US"/>
              </w:rPr>
            </w:pPr>
            <w:r>
              <w:rPr>
                <w:sz w:val="18"/>
                <w:szCs w:val="18"/>
                <w:lang w:val="en-US"/>
              </w:rPr>
              <w:t>450.08</w:t>
            </w:r>
          </w:p>
        </w:tc>
        <w:tc>
          <w:tcPr>
            <w:tcW w:w="1276" w:type="dxa"/>
            <w:vAlign w:val="center"/>
          </w:tcPr>
          <w:p w14:paraId="4FDB28E1">
            <w:pPr>
              <w:spacing w:line="440" w:lineRule="exact"/>
              <w:jc w:val="center"/>
              <w:rPr>
                <w:sz w:val="18"/>
                <w:szCs w:val="18"/>
                <w:lang w:val="en-US"/>
              </w:rPr>
            </w:pPr>
            <w:r>
              <w:rPr>
                <w:sz w:val="18"/>
                <w:szCs w:val="18"/>
                <w:lang w:val="en-US"/>
              </w:rPr>
              <w:t>100.00</w:t>
            </w:r>
          </w:p>
        </w:tc>
        <w:tc>
          <w:tcPr>
            <w:tcW w:w="1073" w:type="dxa"/>
            <w:vAlign w:val="center"/>
          </w:tcPr>
          <w:p w14:paraId="04F50D5E">
            <w:pPr>
              <w:spacing w:line="440" w:lineRule="exact"/>
              <w:jc w:val="center"/>
              <w:rPr>
                <w:sz w:val="18"/>
                <w:szCs w:val="18"/>
                <w:lang w:val="en-US"/>
              </w:rPr>
            </w:pPr>
            <w:r>
              <w:rPr>
                <w:sz w:val="18"/>
                <w:szCs w:val="18"/>
                <w:lang w:val="en-US"/>
              </w:rPr>
              <w:t>是</w:t>
            </w:r>
          </w:p>
        </w:tc>
      </w:tr>
      <w:tr w14:paraId="64B8F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268B180">
            <w:pPr>
              <w:spacing w:line="440" w:lineRule="exact"/>
              <w:jc w:val="center"/>
              <w:rPr>
                <w:sz w:val="18"/>
                <w:szCs w:val="18"/>
                <w:lang w:val="en-US"/>
              </w:rPr>
            </w:pPr>
            <w:r>
              <w:rPr>
                <w:sz w:val="18"/>
                <w:szCs w:val="18"/>
                <w:lang w:val="en-US"/>
              </w:rPr>
              <w:t>建筑物21</w:t>
            </w:r>
          </w:p>
        </w:tc>
        <w:tc>
          <w:tcPr>
            <w:tcW w:w="1418" w:type="dxa"/>
            <w:vAlign w:val="center"/>
          </w:tcPr>
          <w:p w14:paraId="5631A7EA">
            <w:pPr>
              <w:spacing w:line="440" w:lineRule="exact"/>
              <w:jc w:val="center"/>
              <w:rPr>
                <w:sz w:val="18"/>
                <w:szCs w:val="18"/>
                <w:lang w:val="en-US"/>
              </w:rPr>
            </w:pPr>
            <w:r>
              <w:rPr>
                <w:sz w:val="18"/>
                <w:szCs w:val="18"/>
                <w:lang w:val="en-US"/>
              </w:rPr>
              <w:t>668.38</w:t>
            </w:r>
          </w:p>
        </w:tc>
        <w:tc>
          <w:tcPr>
            <w:tcW w:w="3260" w:type="dxa"/>
            <w:vAlign w:val="center"/>
          </w:tcPr>
          <w:p w14:paraId="6CF792DC">
            <w:pPr>
              <w:spacing w:line="440" w:lineRule="exact"/>
              <w:jc w:val="center"/>
              <w:rPr>
                <w:sz w:val="18"/>
                <w:szCs w:val="18"/>
                <w:lang w:val="en-US"/>
              </w:rPr>
            </w:pPr>
            <w:r>
              <w:rPr>
                <w:sz w:val="18"/>
                <w:szCs w:val="18"/>
                <w:lang w:val="en-US"/>
              </w:rPr>
              <w:t>668.38</w:t>
            </w:r>
          </w:p>
        </w:tc>
        <w:tc>
          <w:tcPr>
            <w:tcW w:w="1276" w:type="dxa"/>
            <w:vAlign w:val="center"/>
          </w:tcPr>
          <w:p w14:paraId="095EC3EC">
            <w:pPr>
              <w:spacing w:line="440" w:lineRule="exact"/>
              <w:jc w:val="center"/>
              <w:rPr>
                <w:sz w:val="18"/>
                <w:szCs w:val="18"/>
                <w:lang w:val="en-US"/>
              </w:rPr>
            </w:pPr>
            <w:r>
              <w:rPr>
                <w:sz w:val="18"/>
                <w:szCs w:val="18"/>
                <w:lang w:val="en-US"/>
              </w:rPr>
              <w:t>100.00</w:t>
            </w:r>
          </w:p>
        </w:tc>
        <w:tc>
          <w:tcPr>
            <w:tcW w:w="1073" w:type="dxa"/>
            <w:vAlign w:val="center"/>
          </w:tcPr>
          <w:p w14:paraId="15F609BA">
            <w:pPr>
              <w:spacing w:line="440" w:lineRule="exact"/>
              <w:jc w:val="center"/>
              <w:rPr>
                <w:sz w:val="18"/>
                <w:szCs w:val="18"/>
                <w:lang w:val="en-US"/>
              </w:rPr>
            </w:pPr>
            <w:r>
              <w:rPr>
                <w:sz w:val="18"/>
                <w:szCs w:val="18"/>
                <w:lang w:val="en-US"/>
              </w:rPr>
              <w:t>是</w:t>
            </w:r>
          </w:p>
        </w:tc>
      </w:tr>
      <w:bookmarkEnd w:id="141"/>
    </w:tbl>
    <w:p w14:paraId="10C0C202">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6194672D">
      <w:r>
        <w:rPr>
          <w:rFonts w:hint="eastAsia"/>
        </w:rPr>
        <w:t xml:space="preserve"> </w:t>
      </w:r>
    </w:p>
    <w:p w14:paraId="481F91F6">
      <w:pPr>
        <w:ind w:firstLine="420"/>
        <w:rPr>
          <w:lang w:val="en-US"/>
        </w:rPr>
      </w:pPr>
      <w:bookmarkStart w:id="142"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42"/>
      <w:r>
        <w:rPr>
          <w:rFonts w:hint="eastAsia"/>
          <w:lang w:val="en-US"/>
        </w:rPr>
        <w:t xml:space="preserve"> </w:t>
      </w:r>
    </w:p>
    <w:p w14:paraId="30B01DE2">
      <w:pPr>
        <w:pStyle w:val="4"/>
      </w:pPr>
      <w:bookmarkStart w:id="143" w:name="_Toc1088"/>
      <w:r>
        <w:rPr>
          <w:rFonts w:hint="eastAsia"/>
        </w:rPr>
        <w:t>过渡季工况</w:t>
      </w:r>
      <w:bookmarkEnd w:id="143"/>
    </w:p>
    <w:p w14:paraId="69166084">
      <w:pPr>
        <w:ind w:firstLine="420"/>
      </w:pPr>
      <w:r>
        <w:rPr>
          <w:rFonts w:hint="eastAsia"/>
          <w:lang w:val="en-US"/>
        </w:rPr>
        <w:t>本项目过渡季工况的入口边界风速为3.10</w:t>
      </w:r>
      <w:bookmarkEnd w:id="3"/>
      <w:r>
        <w:rPr>
          <w:rFonts w:hint="eastAsia"/>
          <w:lang w:val="en-US"/>
        </w:rPr>
        <w:t>m/s，风向为</w:t>
      </w:r>
      <w:r>
        <w:t>WSW</w:t>
      </w:r>
      <w:r>
        <w:rPr>
          <w:rFonts w:hint="eastAsia"/>
          <w:lang w:val="en-US"/>
        </w:rPr>
        <w:t>。</w:t>
      </w:r>
    </w:p>
    <w:p w14:paraId="1405277E">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5C66B588">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B8E7376">
      <w:pPr>
        <w:ind w:firstLine="420"/>
      </w:pPr>
      <w:r>
        <w:rPr>
          <w:rFonts w:hint="eastAsia"/>
          <w:lang w:val="en-US"/>
        </w:rPr>
        <w:t>注：无风区的定义参考《</w:t>
      </w:r>
      <w:r>
        <w:rPr>
          <w:rFonts w:hint="eastAsia"/>
        </w:rPr>
        <w:t>建筑设计资料集</w:t>
      </w:r>
      <w:r>
        <w:rPr>
          <w:rFonts w:hint="eastAsia"/>
          <w:lang w:val="en-US"/>
        </w:rPr>
        <w:t>》第一分册，第二版。</w:t>
      </w:r>
    </w:p>
    <w:p w14:paraId="1170EF3D">
      <w:pPr>
        <w:pStyle w:val="5"/>
      </w:pPr>
      <w:r>
        <w:rPr>
          <w:rFonts w:hint="eastAsia"/>
        </w:rPr>
        <w:t>人活动区域无风区计算分析</w:t>
      </w:r>
      <w:bookmarkEnd w:id="8"/>
    </w:p>
    <w:p w14:paraId="04609F51">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bookmarkEnd w:id="2"/>
    <w:p w14:paraId="399D6B25">
      <w:pPr>
        <w:pStyle w:val="3"/>
        <w:spacing w:after="156" w:afterLines="50"/>
        <w:ind w:firstLine="0" w:firstLineChars="0"/>
        <w:jc w:val="center"/>
        <w:rPr>
          <w:rFonts w:ascii="微软雅黑" w:hAnsi="微软雅黑" w:eastAsia="微软雅黑"/>
        </w:rPr>
      </w:pPr>
      <w:r>
        <w:drawing>
          <wp:inline distT="0" distB="0" distL="0" distR="0">
            <wp:extent cx="5667375" cy="32480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4"/>
                    <a:stretch>
                      <a:fillRect/>
                    </a:stretch>
                  </pic:blipFill>
                  <pic:spPr>
                    <a:xfrm>
                      <a:off x="0" y="0"/>
                      <a:ext cx="5667375" cy="3248025"/>
                    </a:xfrm>
                    <a:prstGeom prst="rect">
                      <a:avLst/>
                    </a:prstGeom>
                  </pic:spPr>
                </pic:pic>
              </a:graphicData>
            </a:graphic>
          </wp:inline>
        </w:drawing>
      </w:r>
    </w:p>
    <w:p w14:paraId="4D2560C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2722F20D">
      <w:pPr>
        <w:pStyle w:val="5"/>
      </w:pPr>
      <w:r>
        <w:rPr>
          <w:rFonts w:hint="eastAsia"/>
        </w:rPr>
        <w:t>人活动区域旋涡区分析</w:t>
      </w:r>
      <w:bookmarkEnd w:id="10"/>
    </w:p>
    <w:p w14:paraId="60FF6286">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5BAC41E7">
      <w:pPr>
        <w:pStyle w:val="3"/>
        <w:ind w:firstLine="0" w:firstLineChars="0"/>
        <w:jc w:val="center"/>
        <w:rPr>
          <w:rFonts w:ascii="微软雅黑" w:hAnsi="微软雅黑" w:eastAsia="微软雅黑"/>
          <w:lang w:val="en-US"/>
        </w:rPr>
      </w:pPr>
      <w:r>
        <w:drawing>
          <wp:inline distT="0" distB="0" distL="0" distR="0">
            <wp:extent cx="5667375" cy="33909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5"/>
                    <a:stretch>
                      <a:fillRect/>
                    </a:stretch>
                  </pic:blipFill>
                  <pic:spPr>
                    <a:xfrm>
                      <a:off x="0" y="0"/>
                      <a:ext cx="5667375" cy="3390900"/>
                    </a:xfrm>
                    <a:prstGeom prst="rect">
                      <a:avLst/>
                    </a:prstGeom>
                  </pic:spPr>
                </pic:pic>
              </a:graphicData>
            </a:graphic>
          </wp:inline>
        </w:drawing>
      </w:r>
    </w:p>
    <w:p w14:paraId="1D3420FE">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6783AEE2">
      <w:pPr>
        <w:pStyle w:val="5"/>
      </w:pPr>
      <w:r>
        <w:rPr>
          <w:rFonts w:hint="eastAsia"/>
        </w:rPr>
        <w:t>人活动区域旋涡区/无风区达标</w:t>
      </w:r>
      <w:bookmarkEnd w:id="40"/>
      <w:r>
        <w:rPr>
          <w:rFonts w:hint="eastAsia"/>
        </w:rPr>
        <w:t>结果汇总</w:t>
      </w:r>
    </w:p>
    <w:p w14:paraId="1CE90E8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4282F25D">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0C56FA">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7C5D05BB">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24D4645F">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A2D8753">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355B0FE4">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59B304F4">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5745E72B">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0B2D2D1D">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5F45B558">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7E64DD6F">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C814B08">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3C001044">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06F9E2EA">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593DFE06">
            <w:pPr>
              <w:spacing w:line="400" w:lineRule="exact"/>
              <w:jc w:val="center"/>
              <w:rPr>
                <w:rFonts w:cs="宋体"/>
                <w:color w:val="000000"/>
                <w:sz w:val="18"/>
                <w:szCs w:val="18"/>
                <w:lang w:val="en-US"/>
              </w:rPr>
            </w:pPr>
            <w:r>
              <w:rPr>
                <w:rFonts w:cs="宋体"/>
                <w:color w:val="000000"/>
                <w:sz w:val="18"/>
                <w:szCs w:val="18"/>
                <w:lang w:val="en-US"/>
              </w:rPr>
              <w:t>是</w:t>
            </w:r>
          </w:p>
        </w:tc>
      </w:tr>
    </w:tbl>
    <w:p w14:paraId="0321C443">
      <w:pPr>
        <w:pStyle w:val="5"/>
      </w:pPr>
      <w:r>
        <w:rPr>
          <w:rFonts w:hint="eastAsia"/>
        </w:rPr>
        <w:t>外窗内外表面风压</w:t>
      </w:r>
      <w:bookmarkEnd w:id="17"/>
      <w:r>
        <w:rPr>
          <w:rFonts w:hint="eastAsia"/>
        </w:rPr>
        <w:t>差达标分析</w:t>
      </w:r>
      <w:bookmarkEnd w:id="19"/>
    </w:p>
    <w:p w14:paraId="4179AD48">
      <w:pPr>
        <w:ind w:firstLine="420"/>
      </w:pPr>
      <w:r>
        <w:rPr>
          <w:rFonts w:hint="eastAsia"/>
          <w:lang w:val="en-US"/>
        </w:rPr>
        <w:t>分析《绿色建筑评价标准》，过渡季为充分利用自然通风获得良好的室内风环境，要求50%以上可开启外窗室内外表面的风压差大于0.5Pa。</w:t>
      </w:r>
    </w:p>
    <w:p w14:paraId="542D1F3C">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42F4689">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7604FFEB">
      <w:pPr>
        <w:pStyle w:val="3"/>
        <w:ind w:firstLine="0" w:firstLineChars="0"/>
        <w:jc w:val="center"/>
        <w:rPr>
          <w:rFonts w:ascii="微软雅黑" w:hAnsi="微软雅黑" w:eastAsia="微软雅黑"/>
        </w:rPr>
      </w:pPr>
      <w:r>
        <w:drawing>
          <wp:inline distT="0" distB="0" distL="0" distR="0">
            <wp:extent cx="5667375" cy="33528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6"/>
                    <a:stretch>
                      <a:fillRect/>
                    </a:stretch>
                  </pic:blipFill>
                  <pic:spPr>
                    <a:xfrm>
                      <a:off x="0" y="0"/>
                      <a:ext cx="5667375" cy="3352800"/>
                    </a:xfrm>
                    <a:prstGeom prst="rect">
                      <a:avLst/>
                    </a:prstGeom>
                  </pic:spPr>
                </pic:pic>
              </a:graphicData>
            </a:graphic>
          </wp:inline>
        </w:drawing>
      </w:r>
    </w:p>
    <w:p w14:paraId="6761C64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482684FF">
      <w:pPr>
        <w:jc w:val="center"/>
        <w:rPr>
          <w:rFonts w:ascii="微软雅黑" w:hAnsi="微软雅黑" w:eastAsia="微软雅黑"/>
        </w:rPr>
      </w:pPr>
      <w:r>
        <w:drawing>
          <wp:inline distT="0" distB="0" distL="0" distR="0">
            <wp:extent cx="5667375" cy="33623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7"/>
                    <a:stretch>
                      <a:fillRect/>
                    </a:stretch>
                  </pic:blipFill>
                  <pic:spPr>
                    <a:xfrm>
                      <a:off x="0" y="0"/>
                      <a:ext cx="5667375" cy="3362325"/>
                    </a:xfrm>
                    <a:prstGeom prst="rect">
                      <a:avLst/>
                    </a:prstGeom>
                  </pic:spPr>
                </pic:pic>
              </a:graphicData>
            </a:graphic>
          </wp:inline>
        </w:drawing>
      </w:r>
    </w:p>
    <w:p w14:paraId="632F222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20D46B9C">
      <w:pPr>
        <w:ind w:firstLine="420"/>
      </w:pPr>
      <w:r>
        <w:rPr>
          <w:rFonts w:hint="eastAsia"/>
        </w:rPr>
        <w:t>下表为依据上图提取的外窗外表面平均风压数据，相当于外窗室内外表面风压差数据，并依据标准做出达标判断：</w:t>
      </w:r>
    </w:p>
    <w:p w14:paraId="22772ECC">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0C30F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7D396A27">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38C67624">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75A21174">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6D6189D1">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7D4CB17E">
            <w:pPr>
              <w:jc w:val="center"/>
              <w:rPr>
                <w:sz w:val="18"/>
                <w:szCs w:val="18"/>
                <w:lang w:val="en-US"/>
              </w:rPr>
            </w:pPr>
            <w:r>
              <w:rPr>
                <w:rFonts w:hint="eastAsia"/>
                <w:sz w:val="18"/>
                <w:szCs w:val="18"/>
                <w:lang w:val="en-US"/>
              </w:rPr>
              <w:t>是否达标</w:t>
            </w:r>
          </w:p>
        </w:tc>
      </w:tr>
      <w:tr w14:paraId="3F95F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9FDC69F">
            <w:pPr>
              <w:jc w:val="center"/>
              <w:rPr>
                <w:sz w:val="18"/>
                <w:szCs w:val="18"/>
                <w:lang w:val="en-US"/>
              </w:rPr>
            </w:pPr>
            <w:r>
              <w:rPr>
                <w:sz w:val="18"/>
                <w:szCs w:val="18"/>
                <w:lang w:val="en-US"/>
              </w:rPr>
              <w:t>三稿平面_T8</w:t>
            </w:r>
          </w:p>
        </w:tc>
        <w:tc>
          <w:tcPr>
            <w:tcW w:w="1559" w:type="dxa"/>
            <w:shd w:val="clear" w:color="auto" w:fill="auto"/>
            <w:vAlign w:val="center"/>
          </w:tcPr>
          <w:p w14:paraId="43E3DB34">
            <w:pPr>
              <w:jc w:val="center"/>
              <w:rPr>
                <w:sz w:val="18"/>
                <w:szCs w:val="18"/>
                <w:lang w:val="en-US"/>
              </w:rPr>
            </w:pPr>
            <w:r>
              <w:rPr>
                <w:sz w:val="18"/>
                <w:szCs w:val="18"/>
                <w:lang w:val="en-US"/>
              </w:rPr>
              <w:t>223</w:t>
            </w:r>
          </w:p>
        </w:tc>
        <w:tc>
          <w:tcPr>
            <w:tcW w:w="3544" w:type="dxa"/>
            <w:shd w:val="clear" w:color="auto" w:fill="auto"/>
            <w:vAlign w:val="center"/>
          </w:tcPr>
          <w:p w14:paraId="19FA40A9">
            <w:pPr>
              <w:jc w:val="center"/>
              <w:rPr>
                <w:sz w:val="18"/>
                <w:szCs w:val="18"/>
                <w:lang w:val="en-US"/>
              </w:rPr>
            </w:pPr>
            <w:r>
              <w:rPr>
                <w:sz w:val="18"/>
                <w:szCs w:val="18"/>
                <w:lang w:val="en-US"/>
              </w:rPr>
              <w:t>166</w:t>
            </w:r>
          </w:p>
        </w:tc>
        <w:tc>
          <w:tcPr>
            <w:tcW w:w="1116" w:type="dxa"/>
            <w:shd w:val="clear" w:color="auto" w:fill="auto"/>
            <w:vAlign w:val="center"/>
          </w:tcPr>
          <w:p w14:paraId="03C2BC3D">
            <w:pPr>
              <w:jc w:val="center"/>
              <w:rPr>
                <w:sz w:val="18"/>
                <w:szCs w:val="18"/>
                <w:lang w:val="en-US"/>
              </w:rPr>
            </w:pPr>
            <w:r>
              <w:rPr>
                <w:sz w:val="18"/>
                <w:szCs w:val="18"/>
                <w:lang w:val="en-US"/>
              </w:rPr>
              <w:t>74.44</w:t>
            </w:r>
          </w:p>
        </w:tc>
        <w:tc>
          <w:tcPr>
            <w:tcW w:w="1011" w:type="dxa"/>
            <w:shd w:val="clear" w:color="auto" w:fill="auto"/>
            <w:vAlign w:val="center"/>
          </w:tcPr>
          <w:p w14:paraId="3C13AA5E">
            <w:pPr>
              <w:jc w:val="center"/>
              <w:rPr>
                <w:sz w:val="18"/>
                <w:szCs w:val="18"/>
                <w:lang w:val="en-US"/>
              </w:rPr>
            </w:pPr>
            <w:r>
              <w:rPr>
                <w:sz w:val="18"/>
                <w:szCs w:val="18"/>
                <w:lang w:val="en-US"/>
              </w:rPr>
              <w:t>是</w:t>
            </w:r>
          </w:p>
        </w:tc>
      </w:tr>
    </w:tbl>
    <w:p w14:paraId="1FDE12DF">
      <w:pPr>
        <w:rPr>
          <w:sz w:val="18"/>
          <w:szCs w:val="18"/>
        </w:rPr>
      </w:pPr>
      <w:r>
        <w:rPr>
          <w:rFonts w:hint="eastAsia"/>
          <w:sz w:val="18"/>
          <w:szCs w:val="18"/>
          <w:lang w:val="en-US"/>
        </w:rPr>
        <w:t>说明：达标比例＝（室内外风压差大于0.5Pa的总数/可开启外窗总数）*100％</w:t>
      </w:r>
    </w:p>
    <w:bookmarkEnd w:id="24"/>
    <w:p w14:paraId="6113B750">
      <w:pPr>
        <w:rPr>
          <w:lang w:val="en-US"/>
        </w:rPr>
      </w:pPr>
    </w:p>
    <w:p w14:paraId="3B2FF3A7">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B699711">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37A69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59463885">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495ECC8D">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1CC68A38">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58DAE1C3">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16B7D556">
            <w:pPr>
              <w:jc w:val="center"/>
              <w:rPr>
                <w:sz w:val="18"/>
                <w:szCs w:val="18"/>
                <w:lang w:val="en-US"/>
              </w:rPr>
            </w:pPr>
            <w:r>
              <w:rPr>
                <w:rFonts w:hint="eastAsia"/>
                <w:sz w:val="18"/>
                <w:szCs w:val="18"/>
                <w:lang w:val="en-US"/>
              </w:rPr>
              <w:t>是否达标</w:t>
            </w:r>
          </w:p>
        </w:tc>
      </w:tr>
      <w:tr w14:paraId="284B1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BB4A712">
            <w:pPr>
              <w:spacing w:line="440" w:lineRule="exact"/>
              <w:jc w:val="center"/>
              <w:rPr>
                <w:sz w:val="18"/>
                <w:szCs w:val="18"/>
                <w:lang w:val="en-US"/>
              </w:rPr>
            </w:pPr>
            <w:r>
              <w:rPr>
                <w:sz w:val="18"/>
                <w:szCs w:val="18"/>
                <w:lang w:val="en-US"/>
              </w:rPr>
              <w:t>39</w:t>
            </w:r>
          </w:p>
        </w:tc>
        <w:tc>
          <w:tcPr>
            <w:tcW w:w="1418" w:type="dxa"/>
            <w:vAlign w:val="center"/>
          </w:tcPr>
          <w:p w14:paraId="21A807CD">
            <w:pPr>
              <w:spacing w:line="440" w:lineRule="exact"/>
              <w:jc w:val="center"/>
              <w:rPr>
                <w:sz w:val="18"/>
                <w:szCs w:val="18"/>
                <w:lang w:val="en-US"/>
              </w:rPr>
            </w:pPr>
            <w:r>
              <w:rPr>
                <w:sz w:val="18"/>
                <w:szCs w:val="18"/>
                <w:lang w:val="en-US"/>
              </w:rPr>
              <w:t>426.55</w:t>
            </w:r>
          </w:p>
        </w:tc>
        <w:tc>
          <w:tcPr>
            <w:tcW w:w="3260" w:type="dxa"/>
            <w:vAlign w:val="center"/>
          </w:tcPr>
          <w:p w14:paraId="50B2DF90">
            <w:pPr>
              <w:spacing w:line="440" w:lineRule="exact"/>
              <w:jc w:val="center"/>
              <w:rPr>
                <w:sz w:val="18"/>
                <w:szCs w:val="18"/>
                <w:lang w:val="en-US"/>
              </w:rPr>
            </w:pPr>
            <w:r>
              <w:rPr>
                <w:sz w:val="18"/>
                <w:szCs w:val="18"/>
                <w:lang w:val="en-US"/>
              </w:rPr>
              <w:t>426.55</w:t>
            </w:r>
          </w:p>
        </w:tc>
        <w:tc>
          <w:tcPr>
            <w:tcW w:w="1276" w:type="dxa"/>
            <w:vAlign w:val="center"/>
          </w:tcPr>
          <w:p w14:paraId="7CF7C5E7">
            <w:pPr>
              <w:spacing w:line="440" w:lineRule="exact"/>
              <w:jc w:val="center"/>
              <w:rPr>
                <w:sz w:val="18"/>
                <w:szCs w:val="18"/>
                <w:lang w:val="en-US"/>
              </w:rPr>
            </w:pPr>
            <w:r>
              <w:rPr>
                <w:sz w:val="18"/>
                <w:szCs w:val="18"/>
                <w:lang w:val="en-US"/>
              </w:rPr>
              <w:t>100.00</w:t>
            </w:r>
          </w:p>
        </w:tc>
        <w:tc>
          <w:tcPr>
            <w:tcW w:w="1073" w:type="dxa"/>
            <w:vAlign w:val="center"/>
          </w:tcPr>
          <w:p w14:paraId="4067639B">
            <w:pPr>
              <w:spacing w:line="440" w:lineRule="exact"/>
              <w:jc w:val="center"/>
              <w:rPr>
                <w:sz w:val="18"/>
                <w:szCs w:val="18"/>
                <w:lang w:val="en-US"/>
              </w:rPr>
            </w:pPr>
            <w:r>
              <w:rPr>
                <w:sz w:val="18"/>
                <w:szCs w:val="18"/>
                <w:lang w:val="en-US"/>
              </w:rPr>
              <w:t>是</w:t>
            </w:r>
          </w:p>
        </w:tc>
      </w:tr>
      <w:tr w14:paraId="1D64C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79937F4F">
            <w:pPr>
              <w:spacing w:line="440" w:lineRule="exact"/>
              <w:jc w:val="center"/>
              <w:rPr>
                <w:sz w:val="18"/>
                <w:szCs w:val="18"/>
                <w:lang w:val="en-US"/>
              </w:rPr>
            </w:pPr>
            <w:r>
              <w:rPr>
                <w:sz w:val="18"/>
                <w:szCs w:val="18"/>
                <w:lang w:val="en-US"/>
              </w:rPr>
              <w:t>40</w:t>
            </w:r>
          </w:p>
        </w:tc>
        <w:tc>
          <w:tcPr>
            <w:tcW w:w="1418" w:type="dxa"/>
            <w:vAlign w:val="center"/>
          </w:tcPr>
          <w:p w14:paraId="3BB2243A">
            <w:pPr>
              <w:spacing w:line="440" w:lineRule="exact"/>
              <w:jc w:val="center"/>
              <w:rPr>
                <w:sz w:val="18"/>
                <w:szCs w:val="18"/>
                <w:lang w:val="en-US"/>
              </w:rPr>
            </w:pPr>
            <w:r>
              <w:rPr>
                <w:sz w:val="18"/>
                <w:szCs w:val="18"/>
                <w:lang w:val="en-US"/>
              </w:rPr>
              <w:t>506.82</w:t>
            </w:r>
          </w:p>
        </w:tc>
        <w:tc>
          <w:tcPr>
            <w:tcW w:w="3260" w:type="dxa"/>
            <w:vAlign w:val="center"/>
          </w:tcPr>
          <w:p w14:paraId="4586CEFD">
            <w:pPr>
              <w:spacing w:line="440" w:lineRule="exact"/>
              <w:jc w:val="center"/>
              <w:rPr>
                <w:sz w:val="18"/>
                <w:szCs w:val="18"/>
                <w:lang w:val="en-US"/>
              </w:rPr>
            </w:pPr>
            <w:r>
              <w:rPr>
                <w:sz w:val="18"/>
                <w:szCs w:val="18"/>
                <w:lang w:val="en-US"/>
              </w:rPr>
              <w:t>506.82</w:t>
            </w:r>
          </w:p>
        </w:tc>
        <w:tc>
          <w:tcPr>
            <w:tcW w:w="1276" w:type="dxa"/>
            <w:vAlign w:val="center"/>
          </w:tcPr>
          <w:p w14:paraId="6525E7A8">
            <w:pPr>
              <w:spacing w:line="440" w:lineRule="exact"/>
              <w:jc w:val="center"/>
              <w:rPr>
                <w:sz w:val="18"/>
                <w:szCs w:val="18"/>
                <w:lang w:val="en-US"/>
              </w:rPr>
            </w:pPr>
            <w:r>
              <w:rPr>
                <w:sz w:val="18"/>
                <w:szCs w:val="18"/>
                <w:lang w:val="en-US"/>
              </w:rPr>
              <w:t>100.00</w:t>
            </w:r>
          </w:p>
        </w:tc>
        <w:tc>
          <w:tcPr>
            <w:tcW w:w="1073" w:type="dxa"/>
            <w:vAlign w:val="center"/>
          </w:tcPr>
          <w:p w14:paraId="15CD16FC">
            <w:pPr>
              <w:spacing w:line="440" w:lineRule="exact"/>
              <w:jc w:val="center"/>
              <w:rPr>
                <w:sz w:val="18"/>
                <w:szCs w:val="18"/>
                <w:lang w:val="en-US"/>
              </w:rPr>
            </w:pPr>
            <w:r>
              <w:rPr>
                <w:sz w:val="18"/>
                <w:szCs w:val="18"/>
                <w:lang w:val="en-US"/>
              </w:rPr>
              <w:t>是</w:t>
            </w:r>
          </w:p>
        </w:tc>
      </w:tr>
      <w:tr w14:paraId="6E766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49E62169">
            <w:pPr>
              <w:spacing w:line="440" w:lineRule="exact"/>
              <w:jc w:val="center"/>
              <w:rPr>
                <w:sz w:val="18"/>
                <w:szCs w:val="18"/>
                <w:lang w:val="en-US"/>
              </w:rPr>
            </w:pPr>
            <w:r>
              <w:rPr>
                <w:sz w:val="18"/>
                <w:szCs w:val="18"/>
                <w:lang w:val="en-US"/>
              </w:rPr>
              <w:t>49</w:t>
            </w:r>
          </w:p>
        </w:tc>
        <w:tc>
          <w:tcPr>
            <w:tcW w:w="1418" w:type="dxa"/>
            <w:vAlign w:val="center"/>
          </w:tcPr>
          <w:p w14:paraId="618518ED">
            <w:pPr>
              <w:spacing w:line="440" w:lineRule="exact"/>
              <w:jc w:val="center"/>
              <w:rPr>
                <w:sz w:val="18"/>
                <w:szCs w:val="18"/>
                <w:lang w:val="en-US"/>
              </w:rPr>
            </w:pPr>
            <w:r>
              <w:rPr>
                <w:sz w:val="18"/>
                <w:szCs w:val="18"/>
                <w:lang w:val="en-US"/>
              </w:rPr>
              <w:t>206.40</w:t>
            </w:r>
          </w:p>
        </w:tc>
        <w:tc>
          <w:tcPr>
            <w:tcW w:w="3260" w:type="dxa"/>
            <w:vAlign w:val="center"/>
          </w:tcPr>
          <w:p w14:paraId="4A264353">
            <w:pPr>
              <w:spacing w:line="440" w:lineRule="exact"/>
              <w:jc w:val="center"/>
              <w:rPr>
                <w:sz w:val="18"/>
                <w:szCs w:val="18"/>
                <w:lang w:val="en-US"/>
              </w:rPr>
            </w:pPr>
            <w:r>
              <w:rPr>
                <w:sz w:val="18"/>
                <w:szCs w:val="18"/>
                <w:lang w:val="en-US"/>
              </w:rPr>
              <w:t>206.40</w:t>
            </w:r>
          </w:p>
        </w:tc>
        <w:tc>
          <w:tcPr>
            <w:tcW w:w="1276" w:type="dxa"/>
            <w:vAlign w:val="center"/>
          </w:tcPr>
          <w:p w14:paraId="23FEB0E6">
            <w:pPr>
              <w:spacing w:line="440" w:lineRule="exact"/>
              <w:jc w:val="center"/>
              <w:rPr>
                <w:sz w:val="18"/>
                <w:szCs w:val="18"/>
                <w:lang w:val="en-US"/>
              </w:rPr>
            </w:pPr>
            <w:r>
              <w:rPr>
                <w:sz w:val="18"/>
                <w:szCs w:val="18"/>
                <w:lang w:val="en-US"/>
              </w:rPr>
              <w:t>100.00</w:t>
            </w:r>
          </w:p>
        </w:tc>
        <w:tc>
          <w:tcPr>
            <w:tcW w:w="1073" w:type="dxa"/>
            <w:vAlign w:val="center"/>
          </w:tcPr>
          <w:p w14:paraId="5CD2D067">
            <w:pPr>
              <w:spacing w:line="440" w:lineRule="exact"/>
              <w:jc w:val="center"/>
              <w:rPr>
                <w:sz w:val="18"/>
                <w:szCs w:val="18"/>
                <w:lang w:val="en-US"/>
              </w:rPr>
            </w:pPr>
            <w:r>
              <w:rPr>
                <w:sz w:val="18"/>
                <w:szCs w:val="18"/>
                <w:lang w:val="en-US"/>
              </w:rPr>
              <w:t>是</w:t>
            </w:r>
          </w:p>
        </w:tc>
      </w:tr>
      <w:tr w14:paraId="0C29F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11F0BD02">
            <w:pPr>
              <w:spacing w:line="440" w:lineRule="exact"/>
              <w:jc w:val="center"/>
              <w:rPr>
                <w:sz w:val="18"/>
                <w:szCs w:val="18"/>
                <w:lang w:val="en-US"/>
              </w:rPr>
            </w:pPr>
            <w:r>
              <w:rPr>
                <w:sz w:val="18"/>
                <w:szCs w:val="18"/>
                <w:lang w:val="en-US"/>
              </w:rPr>
              <w:t>51</w:t>
            </w:r>
          </w:p>
        </w:tc>
        <w:tc>
          <w:tcPr>
            <w:tcW w:w="1418" w:type="dxa"/>
            <w:vAlign w:val="center"/>
          </w:tcPr>
          <w:p w14:paraId="38FD7726">
            <w:pPr>
              <w:spacing w:line="440" w:lineRule="exact"/>
              <w:jc w:val="center"/>
              <w:rPr>
                <w:sz w:val="18"/>
                <w:szCs w:val="18"/>
                <w:lang w:val="en-US"/>
              </w:rPr>
            </w:pPr>
            <w:r>
              <w:rPr>
                <w:sz w:val="18"/>
                <w:szCs w:val="18"/>
                <w:lang w:val="en-US"/>
              </w:rPr>
              <w:t>673.22</w:t>
            </w:r>
          </w:p>
        </w:tc>
        <w:tc>
          <w:tcPr>
            <w:tcW w:w="3260" w:type="dxa"/>
            <w:vAlign w:val="center"/>
          </w:tcPr>
          <w:p w14:paraId="47D4691F">
            <w:pPr>
              <w:spacing w:line="440" w:lineRule="exact"/>
              <w:jc w:val="center"/>
              <w:rPr>
                <w:sz w:val="18"/>
                <w:szCs w:val="18"/>
                <w:lang w:val="en-US"/>
              </w:rPr>
            </w:pPr>
            <w:r>
              <w:rPr>
                <w:sz w:val="18"/>
                <w:szCs w:val="18"/>
                <w:lang w:val="en-US"/>
              </w:rPr>
              <w:t>661.87</w:t>
            </w:r>
          </w:p>
        </w:tc>
        <w:tc>
          <w:tcPr>
            <w:tcW w:w="1276" w:type="dxa"/>
            <w:vAlign w:val="center"/>
          </w:tcPr>
          <w:p w14:paraId="2139236C">
            <w:pPr>
              <w:spacing w:line="440" w:lineRule="exact"/>
              <w:jc w:val="center"/>
              <w:rPr>
                <w:sz w:val="18"/>
                <w:szCs w:val="18"/>
                <w:lang w:val="en-US"/>
              </w:rPr>
            </w:pPr>
            <w:r>
              <w:rPr>
                <w:sz w:val="18"/>
                <w:szCs w:val="18"/>
                <w:lang w:val="en-US"/>
              </w:rPr>
              <w:t>98.31</w:t>
            </w:r>
          </w:p>
        </w:tc>
        <w:tc>
          <w:tcPr>
            <w:tcW w:w="1073" w:type="dxa"/>
            <w:vAlign w:val="center"/>
          </w:tcPr>
          <w:p w14:paraId="17C59A3B">
            <w:pPr>
              <w:spacing w:line="440" w:lineRule="exact"/>
              <w:jc w:val="center"/>
              <w:rPr>
                <w:sz w:val="18"/>
                <w:szCs w:val="18"/>
                <w:lang w:val="en-US"/>
              </w:rPr>
            </w:pPr>
            <w:r>
              <w:rPr>
                <w:sz w:val="18"/>
                <w:szCs w:val="18"/>
                <w:lang w:val="en-US"/>
              </w:rPr>
              <w:t>是</w:t>
            </w:r>
          </w:p>
        </w:tc>
      </w:tr>
      <w:tr w14:paraId="3F487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6D759E1">
            <w:pPr>
              <w:spacing w:line="440" w:lineRule="exact"/>
              <w:jc w:val="center"/>
              <w:rPr>
                <w:sz w:val="18"/>
                <w:szCs w:val="18"/>
                <w:lang w:val="en-US"/>
              </w:rPr>
            </w:pPr>
            <w:r>
              <w:rPr>
                <w:sz w:val="18"/>
                <w:szCs w:val="18"/>
                <w:lang w:val="en-US"/>
              </w:rPr>
              <w:t>52</w:t>
            </w:r>
          </w:p>
        </w:tc>
        <w:tc>
          <w:tcPr>
            <w:tcW w:w="1418" w:type="dxa"/>
            <w:vAlign w:val="center"/>
          </w:tcPr>
          <w:p w14:paraId="76F911AC">
            <w:pPr>
              <w:spacing w:line="440" w:lineRule="exact"/>
              <w:jc w:val="center"/>
              <w:rPr>
                <w:sz w:val="18"/>
                <w:szCs w:val="18"/>
                <w:lang w:val="en-US"/>
              </w:rPr>
            </w:pPr>
            <w:r>
              <w:rPr>
                <w:sz w:val="18"/>
                <w:szCs w:val="18"/>
                <w:lang w:val="en-US"/>
              </w:rPr>
              <w:t>524.95</w:t>
            </w:r>
          </w:p>
        </w:tc>
        <w:tc>
          <w:tcPr>
            <w:tcW w:w="3260" w:type="dxa"/>
            <w:vAlign w:val="center"/>
          </w:tcPr>
          <w:p w14:paraId="24B8C1FD">
            <w:pPr>
              <w:spacing w:line="440" w:lineRule="exact"/>
              <w:jc w:val="center"/>
              <w:rPr>
                <w:sz w:val="18"/>
                <w:szCs w:val="18"/>
                <w:lang w:val="en-US"/>
              </w:rPr>
            </w:pPr>
            <w:r>
              <w:rPr>
                <w:sz w:val="18"/>
                <w:szCs w:val="18"/>
                <w:lang w:val="en-US"/>
              </w:rPr>
              <w:t>522.15</w:t>
            </w:r>
          </w:p>
        </w:tc>
        <w:tc>
          <w:tcPr>
            <w:tcW w:w="1276" w:type="dxa"/>
            <w:vAlign w:val="center"/>
          </w:tcPr>
          <w:p w14:paraId="2A377A7B">
            <w:pPr>
              <w:spacing w:line="440" w:lineRule="exact"/>
              <w:jc w:val="center"/>
              <w:rPr>
                <w:sz w:val="18"/>
                <w:szCs w:val="18"/>
                <w:lang w:val="en-US"/>
              </w:rPr>
            </w:pPr>
            <w:r>
              <w:rPr>
                <w:sz w:val="18"/>
                <w:szCs w:val="18"/>
                <w:lang w:val="en-US"/>
              </w:rPr>
              <w:t>99.47</w:t>
            </w:r>
          </w:p>
        </w:tc>
        <w:tc>
          <w:tcPr>
            <w:tcW w:w="1073" w:type="dxa"/>
            <w:vAlign w:val="center"/>
          </w:tcPr>
          <w:p w14:paraId="6DCBFBAB">
            <w:pPr>
              <w:spacing w:line="440" w:lineRule="exact"/>
              <w:jc w:val="center"/>
              <w:rPr>
                <w:sz w:val="18"/>
                <w:szCs w:val="18"/>
                <w:lang w:val="en-US"/>
              </w:rPr>
            </w:pPr>
            <w:r>
              <w:rPr>
                <w:sz w:val="18"/>
                <w:szCs w:val="18"/>
                <w:lang w:val="en-US"/>
              </w:rPr>
              <w:t>是</w:t>
            </w:r>
          </w:p>
        </w:tc>
      </w:tr>
      <w:tr w14:paraId="625EB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CA568AB">
            <w:pPr>
              <w:spacing w:line="440" w:lineRule="exact"/>
              <w:jc w:val="center"/>
              <w:rPr>
                <w:sz w:val="18"/>
                <w:szCs w:val="18"/>
                <w:lang w:val="en-US"/>
              </w:rPr>
            </w:pPr>
            <w:r>
              <w:rPr>
                <w:sz w:val="18"/>
                <w:szCs w:val="18"/>
                <w:lang w:val="en-US"/>
              </w:rPr>
              <w:t>建筑物19</w:t>
            </w:r>
          </w:p>
        </w:tc>
        <w:tc>
          <w:tcPr>
            <w:tcW w:w="1418" w:type="dxa"/>
            <w:vAlign w:val="center"/>
          </w:tcPr>
          <w:p w14:paraId="1FC21818">
            <w:pPr>
              <w:spacing w:line="440" w:lineRule="exact"/>
              <w:jc w:val="center"/>
              <w:rPr>
                <w:sz w:val="18"/>
                <w:szCs w:val="18"/>
                <w:lang w:val="en-US"/>
              </w:rPr>
            </w:pPr>
            <w:r>
              <w:rPr>
                <w:sz w:val="18"/>
                <w:szCs w:val="18"/>
                <w:lang w:val="en-US"/>
              </w:rPr>
              <w:t>401.90</w:t>
            </w:r>
          </w:p>
        </w:tc>
        <w:tc>
          <w:tcPr>
            <w:tcW w:w="3260" w:type="dxa"/>
            <w:vAlign w:val="center"/>
          </w:tcPr>
          <w:p w14:paraId="60619561">
            <w:pPr>
              <w:spacing w:line="440" w:lineRule="exact"/>
              <w:jc w:val="center"/>
              <w:rPr>
                <w:sz w:val="18"/>
                <w:szCs w:val="18"/>
                <w:lang w:val="en-US"/>
              </w:rPr>
            </w:pPr>
            <w:r>
              <w:rPr>
                <w:sz w:val="18"/>
                <w:szCs w:val="18"/>
                <w:lang w:val="en-US"/>
              </w:rPr>
              <w:t>401.90</w:t>
            </w:r>
          </w:p>
        </w:tc>
        <w:tc>
          <w:tcPr>
            <w:tcW w:w="1276" w:type="dxa"/>
            <w:vAlign w:val="center"/>
          </w:tcPr>
          <w:p w14:paraId="66A1ADB6">
            <w:pPr>
              <w:spacing w:line="440" w:lineRule="exact"/>
              <w:jc w:val="center"/>
              <w:rPr>
                <w:sz w:val="18"/>
                <w:szCs w:val="18"/>
                <w:lang w:val="en-US"/>
              </w:rPr>
            </w:pPr>
            <w:r>
              <w:rPr>
                <w:sz w:val="18"/>
                <w:szCs w:val="18"/>
                <w:lang w:val="en-US"/>
              </w:rPr>
              <w:t>100.00</w:t>
            </w:r>
          </w:p>
        </w:tc>
        <w:tc>
          <w:tcPr>
            <w:tcW w:w="1073" w:type="dxa"/>
            <w:vAlign w:val="center"/>
          </w:tcPr>
          <w:p w14:paraId="56C05059">
            <w:pPr>
              <w:spacing w:line="440" w:lineRule="exact"/>
              <w:jc w:val="center"/>
              <w:rPr>
                <w:sz w:val="18"/>
                <w:szCs w:val="18"/>
                <w:lang w:val="en-US"/>
              </w:rPr>
            </w:pPr>
            <w:r>
              <w:rPr>
                <w:sz w:val="18"/>
                <w:szCs w:val="18"/>
                <w:lang w:val="en-US"/>
              </w:rPr>
              <w:t>是</w:t>
            </w:r>
          </w:p>
        </w:tc>
      </w:tr>
      <w:tr w14:paraId="3CE3B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3039292A">
            <w:pPr>
              <w:spacing w:line="440" w:lineRule="exact"/>
              <w:jc w:val="center"/>
              <w:rPr>
                <w:sz w:val="18"/>
                <w:szCs w:val="18"/>
                <w:lang w:val="en-US"/>
              </w:rPr>
            </w:pPr>
            <w:r>
              <w:rPr>
                <w:sz w:val="18"/>
                <w:szCs w:val="18"/>
                <w:lang w:val="en-US"/>
              </w:rPr>
              <w:t>建筑物20</w:t>
            </w:r>
          </w:p>
        </w:tc>
        <w:tc>
          <w:tcPr>
            <w:tcW w:w="1418" w:type="dxa"/>
            <w:vAlign w:val="center"/>
          </w:tcPr>
          <w:p w14:paraId="6D37FFE2">
            <w:pPr>
              <w:spacing w:line="440" w:lineRule="exact"/>
              <w:jc w:val="center"/>
              <w:rPr>
                <w:sz w:val="18"/>
                <w:szCs w:val="18"/>
                <w:lang w:val="en-US"/>
              </w:rPr>
            </w:pPr>
            <w:r>
              <w:rPr>
                <w:sz w:val="18"/>
                <w:szCs w:val="18"/>
                <w:lang w:val="en-US"/>
              </w:rPr>
              <w:t>450.08</w:t>
            </w:r>
          </w:p>
        </w:tc>
        <w:tc>
          <w:tcPr>
            <w:tcW w:w="3260" w:type="dxa"/>
            <w:vAlign w:val="center"/>
          </w:tcPr>
          <w:p w14:paraId="16D3372B">
            <w:pPr>
              <w:spacing w:line="440" w:lineRule="exact"/>
              <w:jc w:val="center"/>
              <w:rPr>
                <w:sz w:val="18"/>
                <w:szCs w:val="18"/>
                <w:lang w:val="en-US"/>
              </w:rPr>
            </w:pPr>
            <w:r>
              <w:rPr>
                <w:sz w:val="18"/>
                <w:szCs w:val="18"/>
                <w:lang w:val="en-US"/>
              </w:rPr>
              <w:t>450.08</w:t>
            </w:r>
          </w:p>
        </w:tc>
        <w:tc>
          <w:tcPr>
            <w:tcW w:w="1276" w:type="dxa"/>
            <w:vAlign w:val="center"/>
          </w:tcPr>
          <w:p w14:paraId="52F8CFF9">
            <w:pPr>
              <w:spacing w:line="440" w:lineRule="exact"/>
              <w:jc w:val="center"/>
              <w:rPr>
                <w:sz w:val="18"/>
                <w:szCs w:val="18"/>
                <w:lang w:val="en-US"/>
              </w:rPr>
            </w:pPr>
            <w:r>
              <w:rPr>
                <w:sz w:val="18"/>
                <w:szCs w:val="18"/>
                <w:lang w:val="en-US"/>
              </w:rPr>
              <w:t>100.00</w:t>
            </w:r>
          </w:p>
        </w:tc>
        <w:tc>
          <w:tcPr>
            <w:tcW w:w="1073" w:type="dxa"/>
            <w:vAlign w:val="center"/>
          </w:tcPr>
          <w:p w14:paraId="767771AE">
            <w:pPr>
              <w:spacing w:line="440" w:lineRule="exact"/>
              <w:jc w:val="center"/>
              <w:rPr>
                <w:sz w:val="18"/>
                <w:szCs w:val="18"/>
                <w:lang w:val="en-US"/>
              </w:rPr>
            </w:pPr>
            <w:r>
              <w:rPr>
                <w:sz w:val="18"/>
                <w:szCs w:val="18"/>
                <w:lang w:val="en-US"/>
              </w:rPr>
              <w:t>是</w:t>
            </w:r>
          </w:p>
        </w:tc>
      </w:tr>
      <w:tr w14:paraId="253D4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69999E1A">
            <w:pPr>
              <w:spacing w:line="440" w:lineRule="exact"/>
              <w:jc w:val="center"/>
              <w:rPr>
                <w:sz w:val="18"/>
                <w:szCs w:val="18"/>
                <w:lang w:val="en-US"/>
              </w:rPr>
            </w:pPr>
            <w:r>
              <w:rPr>
                <w:sz w:val="18"/>
                <w:szCs w:val="18"/>
                <w:lang w:val="en-US"/>
              </w:rPr>
              <w:t>建筑物21</w:t>
            </w:r>
          </w:p>
        </w:tc>
        <w:tc>
          <w:tcPr>
            <w:tcW w:w="1418" w:type="dxa"/>
            <w:vAlign w:val="center"/>
          </w:tcPr>
          <w:p w14:paraId="77BF7B94">
            <w:pPr>
              <w:spacing w:line="440" w:lineRule="exact"/>
              <w:jc w:val="center"/>
              <w:rPr>
                <w:sz w:val="18"/>
                <w:szCs w:val="18"/>
                <w:lang w:val="en-US"/>
              </w:rPr>
            </w:pPr>
            <w:r>
              <w:rPr>
                <w:sz w:val="18"/>
                <w:szCs w:val="18"/>
                <w:lang w:val="en-US"/>
              </w:rPr>
              <w:t>668.38</w:t>
            </w:r>
          </w:p>
        </w:tc>
        <w:tc>
          <w:tcPr>
            <w:tcW w:w="3260" w:type="dxa"/>
            <w:vAlign w:val="center"/>
          </w:tcPr>
          <w:p w14:paraId="79F0E1EF">
            <w:pPr>
              <w:spacing w:line="440" w:lineRule="exact"/>
              <w:jc w:val="center"/>
              <w:rPr>
                <w:sz w:val="18"/>
                <w:szCs w:val="18"/>
                <w:lang w:val="en-US"/>
              </w:rPr>
            </w:pPr>
            <w:r>
              <w:rPr>
                <w:sz w:val="18"/>
                <w:szCs w:val="18"/>
                <w:lang w:val="en-US"/>
              </w:rPr>
              <w:t>668.38</w:t>
            </w:r>
          </w:p>
        </w:tc>
        <w:tc>
          <w:tcPr>
            <w:tcW w:w="1276" w:type="dxa"/>
            <w:vAlign w:val="center"/>
          </w:tcPr>
          <w:p w14:paraId="3CAB4854">
            <w:pPr>
              <w:spacing w:line="440" w:lineRule="exact"/>
              <w:jc w:val="center"/>
              <w:rPr>
                <w:sz w:val="18"/>
                <w:szCs w:val="18"/>
                <w:lang w:val="en-US"/>
              </w:rPr>
            </w:pPr>
            <w:r>
              <w:rPr>
                <w:sz w:val="18"/>
                <w:szCs w:val="18"/>
                <w:lang w:val="en-US"/>
              </w:rPr>
              <w:t>100.00</w:t>
            </w:r>
          </w:p>
        </w:tc>
        <w:tc>
          <w:tcPr>
            <w:tcW w:w="1073" w:type="dxa"/>
            <w:vAlign w:val="center"/>
          </w:tcPr>
          <w:p w14:paraId="44235D5F">
            <w:pPr>
              <w:spacing w:line="440" w:lineRule="exact"/>
              <w:jc w:val="center"/>
              <w:rPr>
                <w:sz w:val="18"/>
                <w:szCs w:val="18"/>
                <w:lang w:val="en-US"/>
              </w:rPr>
            </w:pPr>
            <w:r>
              <w:rPr>
                <w:sz w:val="18"/>
                <w:szCs w:val="18"/>
                <w:lang w:val="en-US"/>
              </w:rPr>
              <w:t>是</w:t>
            </w:r>
          </w:p>
        </w:tc>
      </w:tr>
    </w:tbl>
    <w:p w14:paraId="624AD706">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7BE66E62">
      <w:r>
        <w:rPr>
          <w:rFonts w:hint="eastAsia"/>
        </w:rPr>
        <w:t xml:space="preserve"> </w:t>
      </w:r>
      <w:bookmarkEnd w:id="26"/>
    </w:p>
    <w:p w14:paraId="29FC0129">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6DC2640D">
      <w:pPr>
        <w:rPr>
          <w:lang w:val="en-US"/>
        </w:rPr>
      </w:pPr>
      <w:bookmarkStart w:id="144" w:name="其他工况"/>
      <w:bookmarkEnd w:id="144"/>
      <w:r>
        <w:rPr>
          <w:rFonts w:hint="eastAsia"/>
          <w:lang w:val="en-US"/>
        </w:rPr>
        <w:t xml:space="preserve"> </w:t>
      </w:r>
    </w:p>
    <w:p w14:paraId="6186196F">
      <w:pPr>
        <w:pStyle w:val="2"/>
      </w:pPr>
      <w:bookmarkStart w:id="145" w:name="_Toc509844764"/>
      <w:bookmarkStart w:id="146" w:name="_Toc27137"/>
      <w:r>
        <w:rPr>
          <w:rFonts w:hint="eastAsia"/>
        </w:rPr>
        <w:t>结论</w:t>
      </w:r>
      <w:bookmarkEnd w:id="145"/>
      <w:bookmarkEnd w:id="146"/>
    </w:p>
    <w:p w14:paraId="6D9F910D">
      <w:pPr>
        <w:pStyle w:val="4"/>
      </w:pPr>
      <w:bookmarkStart w:id="147" w:name="_Toc509844765"/>
      <w:bookmarkStart w:id="148" w:name="_Toc13794"/>
      <w:r>
        <w:rPr>
          <w:rFonts w:hint="eastAsia"/>
        </w:rPr>
        <w:t>冬季工况达标判断</w:t>
      </w:r>
      <w:bookmarkEnd w:id="147"/>
      <w:bookmarkEnd w:id="148"/>
      <w:bookmarkStart w:id="149" w:name="_Toc509844766"/>
      <w:bookmarkEnd w:id="149"/>
    </w:p>
    <w:p w14:paraId="37A079E2">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0AD96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1F0F51B4">
            <w:pPr>
              <w:rPr>
                <w:sz w:val="18"/>
                <w:szCs w:val="18"/>
                <w:lang w:val="en-US"/>
              </w:rPr>
            </w:pPr>
            <w:r>
              <w:rPr>
                <w:rFonts w:hint="eastAsia"/>
                <w:sz w:val="18"/>
                <w:szCs w:val="18"/>
                <w:lang w:val="en-US"/>
              </w:rPr>
              <w:t>评价项目</w:t>
            </w:r>
          </w:p>
        </w:tc>
        <w:tc>
          <w:tcPr>
            <w:tcW w:w="2409" w:type="dxa"/>
            <w:shd w:val="clear" w:color="auto" w:fill="E6E6E6"/>
          </w:tcPr>
          <w:p w14:paraId="25D1A457">
            <w:pPr>
              <w:rPr>
                <w:sz w:val="18"/>
                <w:szCs w:val="18"/>
                <w:lang w:val="en-US"/>
              </w:rPr>
            </w:pPr>
            <w:r>
              <w:rPr>
                <w:rFonts w:hint="eastAsia"/>
                <w:sz w:val="18"/>
                <w:szCs w:val="18"/>
                <w:lang w:val="en-US"/>
              </w:rPr>
              <w:t>标准要求</w:t>
            </w:r>
          </w:p>
        </w:tc>
        <w:tc>
          <w:tcPr>
            <w:tcW w:w="2127" w:type="dxa"/>
            <w:shd w:val="clear" w:color="auto" w:fill="E6E6E6"/>
            <w:vAlign w:val="center"/>
          </w:tcPr>
          <w:p w14:paraId="24FE6470">
            <w:pPr>
              <w:rPr>
                <w:sz w:val="18"/>
                <w:szCs w:val="18"/>
                <w:lang w:val="en-US"/>
              </w:rPr>
            </w:pPr>
            <w:r>
              <w:rPr>
                <w:rFonts w:hint="eastAsia"/>
                <w:sz w:val="18"/>
                <w:szCs w:val="18"/>
                <w:lang w:val="en-US"/>
              </w:rPr>
              <w:t>项目计算结果</w:t>
            </w:r>
          </w:p>
        </w:tc>
        <w:tc>
          <w:tcPr>
            <w:tcW w:w="1258" w:type="dxa"/>
            <w:shd w:val="clear" w:color="auto" w:fill="E6E6E6"/>
          </w:tcPr>
          <w:p w14:paraId="7A949B12">
            <w:pPr>
              <w:rPr>
                <w:sz w:val="18"/>
                <w:szCs w:val="18"/>
                <w:lang w:val="en-US"/>
              </w:rPr>
            </w:pPr>
            <w:r>
              <w:rPr>
                <w:rFonts w:hint="eastAsia"/>
                <w:sz w:val="18"/>
                <w:szCs w:val="18"/>
                <w:lang w:val="en-US"/>
              </w:rPr>
              <w:t>达标判定</w:t>
            </w:r>
          </w:p>
        </w:tc>
        <w:tc>
          <w:tcPr>
            <w:tcW w:w="992" w:type="dxa"/>
            <w:shd w:val="clear" w:color="auto" w:fill="E6E6E6"/>
          </w:tcPr>
          <w:p w14:paraId="655900B0">
            <w:pPr>
              <w:rPr>
                <w:sz w:val="18"/>
                <w:szCs w:val="18"/>
                <w:lang w:val="en-US"/>
              </w:rPr>
            </w:pPr>
            <w:r>
              <w:rPr>
                <w:rFonts w:hint="eastAsia"/>
                <w:sz w:val="18"/>
                <w:szCs w:val="18"/>
                <w:lang w:val="en-US"/>
              </w:rPr>
              <w:t>得分</w:t>
            </w:r>
          </w:p>
        </w:tc>
      </w:tr>
      <w:tr w14:paraId="4258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0B99864C">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4B2C566C">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50" w:name="标准要求冬季风速得分"/>
            <w:r>
              <w:rPr>
                <w:rFonts w:hint="eastAsia"/>
                <w:sz w:val="18"/>
                <w:szCs w:val="18"/>
                <w:lang w:val="en-US"/>
              </w:rPr>
              <w:t>3</w:t>
            </w:r>
            <w:bookmarkEnd w:id="150"/>
            <w:r>
              <w:rPr>
                <w:rFonts w:hint="eastAsia"/>
                <w:sz w:val="18"/>
                <w:szCs w:val="18"/>
                <w:lang w:val="en-US"/>
              </w:rPr>
              <w:t>分；</w:t>
            </w:r>
          </w:p>
        </w:tc>
        <w:tc>
          <w:tcPr>
            <w:tcW w:w="2127" w:type="dxa"/>
            <w:shd w:val="clear" w:color="auto" w:fill="auto"/>
            <w:vAlign w:val="center"/>
          </w:tcPr>
          <w:p w14:paraId="704AD161">
            <w:pPr>
              <w:spacing w:line="300" w:lineRule="exact"/>
              <w:jc w:val="center"/>
              <w:rPr>
                <w:sz w:val="18"/>
                <w:szCs w:val="18"/>
                <w:lang w:val="en-US"/>
              </w:rPr>
            </w:pPr>
            <w:bookmarkStart w:id="151" w:name="冬季风速结果所有文字"/>
            <w:r>
              <w:rPr>
                <w:rFonts w:hint="eastAsia"/>
                <w:sz w:val="18"/>
                <w:szCs w:val="18"/>
                <w:lang w:val="en-US"/>
              </w:rPr>
              <w:t>人行区</w:t>
            </w:r>
            <w:bookmarkStart w:id="152" w:name="冬季风速结果"/>
            <w:r>
              <w:t>没有出现</w:t>
            </w:r>
            <w:bookmarkEnd w:id="152"/>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53" w:name="冬季风速结果2"/>
            <w:r>
              <w:t>没有出现</w:t>
            </w:r>
            <w:bookmarkEnd w:id="153"/>
            <w:r>
              <w:rPr>
                <w:rFonts w:hint="eastAsia"/>
                <w:sz w:val="18"/>
                <w:szCs w:val="18"/>
                <w:lang w:val="en-US"/>
              </w:rPr>
              <w:t>风速大于2m/s的区域</w:t>
            </w:r>
            <w:bookmarkEnd w:id="151"/>
          </w:p>
        </w:tc>
        <w:tc>
          <w:tcPr>
            <w:tcW w:w="1258" w:type="dxa"/>
            <w:vMerge w:val="restart"/>
            <w:shd w:val="clear" w:color="auto" w:fill="auto"/>
            <w:vAlign w:val="center"/>
          </w:tcPr>
          <w:p w14:paraId="1CDD19C0">
            <w:pPr>
              <w:spacing w:line="300" w:lineRule="exact"/>
              <w:jc w:val="center"/>
              <w:rPr>
                <w:sz w:val="18"/>
                <w:szCs w:val="18"/>
                <w:lang w:val="en-US"/>
              </w:rPr>
            </w:pPr>
            <w:bookmarkStart w:id="154" w:name="冬季风速达标判定"/>
            <w:r>
              <w:rPr>
                <w:rFonts w:hint="eastAsia"/>
                <w:sz w:val="18"/>
                <w:szCs w:val="18"/>
                <w:lang w:val="en-US"/>
              </w:rPr>
              <w:t>达标</w:t>
            </w:r>
            <w:bookmarkEnd w:id="154"/>
          </w:p>
        </w:tc>
        <w:tc>
          <w:tcPr>
            <w:tcW w:w="992" w:type="dxa"/>
            <w:vMerge w:val="restart"/>
            <w:shd w:val="clear" w:color="auto" w:fill="auto"/>
            <w:vAlign w:val="center"/>
          </w:tcPr>
          <w:p w14:paraId="140EF2B0">
            <w:pPr>
              <w:spacing w:line="300" w:lineRule="exact"/>
              <w:jc w:val="center"/>
              <w:rPr>
                <w:sz w:val="18"/>
                <w:szCs w:val="18"/>
                <w:lang w:val="en-US"/>
              </w:rPr>
            </w:pPr>
            <w:bookmarkStart w:id="155" w:name="冬季风速得分"/>
            <w:r>
              <w:rPr>
                <w:rFonts w:hint="eastAsia"/>
                <w:sz w:val="18"/>
                <w:szCs w:val="18"/>
                <w:lang w:val="en-US"/>
              </w:rPr>
              <w:t>3</w:t>
            </w:r>
            <w:bookmarkEnd w:id="155"/>
            <w:r>
              <w:rPr>
                <w:rFonts w:hint="eastAsia"/>
                <w:sz w:val="18"/>
                <w:szCs w:val="18"/>
                <w:lang w:val="en-US"/>
              </w:rPr>
              <w:t>分</w:t>
            </w:r>
          </w:p>
        </w:tc>
      </w:tr>
      <w:tr w14:paraId="70B1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7ED45067">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7EE540C8">
            <w:pPr>
              <w:spacing w:line="300" w:lineRule="exact"/>
              <w:jc w:val="center"/>
              <w:rPr>
                <w:sz w:val="18"/>
                <w:szCs w:val="18"/>
                <w:lang w:val="en-US"/>
              </w:rPr>
            </w:pPr>
          </w:p>
        </w:tc>
        <w:tc>
          <w:tcPr>
            <w:tcW w:w="2127" w:type="dxa"/>
            <w:shd w:val="clear" w:color="auto" w:fill="auto"/>
            <w:vAlign w:val="center"/>
          </w:tcPr>
          <w:p w14:paraId="56CE90D5">
            <w:pPr>
              <w:spacing w:line="300" w:lineRule="exact"/>
              <w:jc w:val="center"/>
              <w:rPr>
                <w:sz w:val="18"/>
                <w:szCs w:val="18"/>
                <w:lang w:val="en-US"/>
              </w:rPr>
            </w:pPr>
            <w:bookmarkStart w:id="156" w:name="冬季风速放大系数结果所有文字"/>
            <w:r>
              <w:rPr>
                <w:rFonts w:hint="eastAsia"/>
                <w:sz w:val="18"/>
                <w:szCs w:val="18"/>
                <w:lang w:val="en-US"/>
              </w:rPr>
              <w:t>人行区</w:t>
            </w:r>
            <w:bookmarkStart w:id="157" w:name="冬季风速放大系数结果人行区"/>
            <w:bookmarkEnd w:id="157"/>
            <w:r>
              <w:rPr>
                <w:rFonts w:hint="eastAsia"/>
                <w:sz w:val="18"/>
                <w:szCs w:val="18"/>
                <w:lang w:val="en-US"/>
              </w:rPr>
              <w:t>、户外休息区</w:t>
            </w:r>
            <w:r>
              <w:rPr>
                <w:sz w:val="18"/>
                <w:szCs w:val="18"/>
                <w:lang w:val="en-US"/>
              </w:rPr>
              <w:t>、</w:t>
            </w:r>
            <w:r>
              <w:rPr>
                <w:rFonts w:hint="eastAsia"/>
                <w:sz w:val="18"/>
                <w:szCs w:val="18"/>
                <w:lang w:val="en-US"/>
              </w:rPr>
              <w:t>儿童娱乐区</w:t>
            </w:r>
            <w:bookmarkStart w:id="158" w:name="冬季风速放大系数结果休息区"/>
            <w:r>
              <w:t>没有出现</w:t>
            </w:r>
            <w:bookmarkEnd w:id="158"/>
            <w:r>
              <w:rPr>
                <w:rFonts w:hint="eastAsia"/>
                <w:sz w:val="18"/>
                <w:szCs w:val="18"/>
                <w:lang w:val="en-US"/>
              </w:rPr>
              <w:t>风速放大系数大于等于2的区域</w:t>
            </w:r>
            <w:bookmarkEnd w:id="156"/>
          </w:p>
        </w:tc>
        <w:tc>
          <w:tcPr>
            <w:tcW w:w="1258" w:type="dxa"/>
            <w:vMerge w:val="continue"/>
            <w:shd w:val="clear" w:color="auto" w:fill="auto"/>
            <w:vAlign w:val="center"/>
          </w:tcPr>
          <w:p w14:paraId="40D4E646">
            <w:pPr>
              <w:spacing w:line="300" w:lineRule="exact"/>
              <w:jc w:val="center"/>
              <w:rPr>
                <w:sz w:val="18"/>
                <w:szCs w:val="18"/>
                <w:lang w:val="en-US"/>
              </w:rPr>
            </w:pPr>
          </w:p>
        </w:tc>
        <w:tc>
          <w:tcPr>
            <w:tcW w:w="992" w:type="dxa"/>
            <w:vMerge w:val="continue"/>
            <w:shd w:val="clear" w:color="auto" w:fill="auto"/>
            <w:vAlign w:val="center"/>
          </w:tcPr>
          <w:p w14:paraId="26F342F9">
            <w:pPr>
              <w:spacing w:line="300" w:lineRule="exact"/>
              <w:jc w:val="center"/>
              <w:rPr>
                <w:sz w:val="18"/>
                <w:szCs w:val="18"/>
                <w:lang w:val="en-US"/>
              </w:rPr>
            </w:pPr>
          </w:p>
        </w:tc>
      </w:tr>
      <w:tr w14:paraId="53697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50FB7DD9">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6EAA7A63">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9" w:name="标准要求冬季风压得分"/>
            <w:r>
              <w:rPr>
                <w:rFonts w:hint="eastAsia"/>
                <w:sz w:val="18"/>
                <w:szCs w:val="18"/>
                <w:lang w:val="en-US"/>
              </w:rPr>
              <w:t>2</w:t>
            </w:r>
            <w:bookmarkEnd w:id="159"/>
            <w:r>
              <w:rPr>
                <w:rFonts w:hint="eastAsia"/>
                <w:sz w:val="18"/>
                <w:szCs w:val="18"/>
                <w:lang w:val="en-US"/>
              </w:rPr>
              <w:t>分</w:t>
            </w:r>
          </w:p>
        </w:tc>
        <w:tc>
          <w:tcPr>
            <w:tcW w:w="2127" w:type="dxa"/>
            <w:shd w:val="clear" w:color="auto" w:fill="auto"/>
            <w:vAlign w:val="center"/>
          </w:tcPr>
          <w:p w14:paraId="6BC728D4">
            <w:pPr>
              <w:spacing w:line="300" w:lineRule="exact"/>
              <w:jc w:val="center"/>
              <w:rPr>
                <w:sz w:val="18"/>
                <w:szCs w:val="18"/>
                <w:lang w:val="en-US"/>
              </w:rPr>
            </w:pPr>
            <w:r>
              <w:rPr>
                <w:rFonts w:hint="eastAsia"/>
                <w:sz w:val="18"/>
                <w:szCs w:val="18"/>
                <w:lang w:val="en-US"/>
              </w:rPr>
              <w:t>本项目</w:t>
            </w:r>
            <w:bookmarkStart w:id="160" w:name="冬季迎背风面结果"/>
            <w:r>
              <w:t>没有出现</w:t>
            </w:r>
            <w:bookmarkEnd w:id="160"/>
            <w:r>
              <w:rPr>
                <w:rFonts w:hint="eastAsia"/>
                <w:sz w:val="18"/>
                <w:szCs w:val="18"/>
                <w:lang w:val="en-US"/>
              </w:rPr>
              <w:t>建筑迎风面与背风面表面风压差大于5Pa的建筑</w:t>
            </w:r>
          </w:p>
        </w:tc>
        <w:tc>
          <w:tcPr>
            <w:tcW w:w="1258" w:type="dxa"/>
            <w:shd w:val="clear" w:color="auto" w:fill="auto"/>
            <w:vAlign w:val="center"/>
          </w:tcPr>
          <w:p w14:paraId="720ED843">
            <w:pPr>
              <w:spacing w:line="300" w:lineRule="exact"/>
              <w:jc w:val="center"/>
              <w:rPr>
                <w:sz w:val="18"/>
                <w:szCs w:val="18"/>
                <w:lang w:val="en-US"/>
              </w:rPr>
            </w:pPr>
            <w:bookmarkStart w:id="161" w:name="冬季迎背风面达标判定"/>
            <w:r>
              <w:rPr>
                <w:rFonts w:hint="eastAsia"/>
                <w:sz w:val="18"/>
                <w:szCs w:val="18"/>
                <w:lang w:val="en-US"/>
              </w:rPr>
              <w:t>达标</w:t>
            </w:r>
            <w:bookmarkEnd w:id="161"/>
          </w:p>
        </w:tc>
        <w:tc>
          <w:tcPr>
            <w:tcW w:w="992" w:type="dxa"/>
            <w:shd w:val="clear" w:color="auto" w:fill="auto"/>
            <w:vAlign w:val="center"/>
          </w:tcPr>
          <w:p w14:paraId="792C6565">
            <w:pPr>
              <w:spacing w:line="300" w:lineRule="exact"/>
              <w:jc w:val="center"/>
              <w:rPr>
                <w:sz w:val="18"/>
                <w:szCs w:val="18"/>
                <w:lang w:val="en-US"/>
              </w:rPr>
            </w:pPr>
            <w:bookmarkStart w:id="162" w:name="冬季迎背风面得分"/>
            <w:r>
              <w:rPr>
                <w:rFonts w:hint="eastAsia"/>
                <w:sz w:val="18"/>
                <w:szCs w:val="18"/>
                <w:lang w:val="en-US"/>
              </w:rPr>
              <w:t>2</w:t>
            </w:r>
            <w:bookmarkEnd w:id="162"/>
            <w:r>
              <w:rPr>
                <w:rFonts w:hint="eastAsia"/>
                <w:sz w:val="18"/>
                <w:szCs w:val="18"/>
                <w:lang w:val="en-US"/>
              </w:rPr>
              <w:t>分</w:t>
            </w:r>
          </w:p>
        </w:tc>
      </w:tr>
    </w:tbl>
    <w:p w14:paraId="003A6899">
      <w:pPr>
        <w:rPr>
          <w:sz w:val="18"/>
          <w:szCs w:val="18"/>
          <w:lang w:val="en-US"/>
        </w:rPr>
      </w:pPr>
      <w:bookmarkStart w:id="163" w:name="_Toc509844767"/>
      <w:bookmarkEnd w:id="163"/>
      <w:bookmarkStart w:id="164" w:name="_Toc509844768"/>
      <w:bookmarkEnd w:id="164"/>
    </w:p>
    <w:bookmarkEnd w:id="1"/>
    <w:p w14:paraId="6527AB59">
      <w:pPr>
        <w:pStyle w:val="4"/>
      </w:pPr>
      <w:bookmarkStart w:id="165" w:name="_Toc509844769"/>
      <w:bookmarkStart w:id="166" w:name="_Toc24704"/>
      <w:r>
        <w:rPr>
          <w:rFonts w:hint="eastAsia"/>
        </w:rPr>
        <w:t>过渡季、夏季工况达标判断</w:t>
      </w:r>
      <w:bookmarkEnd w:id="165"/>
      <w:bookmarkEnd w:id="166"/>
    </w:p>
    <w:p w14:paraId="3D53F13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2D1E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6" w:type="dxa"/>
            <w:shd w:val="clear" w:color="auto" w:fill="E6E6E6"/>
            <w:vAlign w:val="center"/>
          </w:tcPr>
          <w:p w14:paraId="3C2C98B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15A9590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53FC84E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3BDBA0D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63F3578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7B180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4280D86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32FEE9C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7" w:name="标准要求夏季风速得分"/>
            <w:r>
              <w:rPr>
                <w:rFonts w:hint="eastAsia" w:ascii="微软雅黑" w:hAnsi="微软雅黑" w:eastAsia="微软雅黑"/>
                <w:sz w:val="18"/>
                <w:szCs w:val="18"/>
                <w:lang w:val="en-US"/>
              </w:rPr>
              <w:t>3</w:t>
            </w:r>
            <w:bookmarkEnd w:id="167"/>
            <w:r>
              <w:rPr>
                <w:rFonts w:hint="eastAsia" w:ascii="微软雅黑" w:hAnsi="微软雅黑" w:eastAsia="微软雅黑"/>
                <w:sz w:val="18"/>
                <w:szCs w:val="18"/>
                <w:lang w:val="en-US"/>
              </w:rPr>
              <w:t>分</w:t>
            </w:r>
          </w:p>
        </w:tc>
        <w:tc>
          <w:tcPr>
            <w:tcW w:w="1985" w:type="dxa"/>
            <w:shd w:val="clear" w:color="auto" w:fill="auto"/>
            <w:vAlign w:val="center"/>
          </w:tcPr>
          <w:p w14:paraId="7B267EF5">
            <w:pPr>
              <w:jc w:val="center"/>
              <w:rPr>
                <w:rFonts w:ascii="微软雅黑" w:hAnsi="微软雅黑" w:eastAsia="微软雅黑"/>
                <w:sz w:val="18"/>
                <w:szCs w:val="18"/>
                <w:lang w:val="en-US"/>
              </w:rPr>
            </w:pPr>
            <w:bookmarkStart w:id="168" w:name="夏季无风区结果人活动区文字"/>
            <w:r>
              <w:rPr>
                <w:rFonts w:hint="eastAsia" w:ascii="微软雅黑" w:hAnsi="微软雅黑" w:eastAsia="微软雅黑"/>
                <w:sz w:val="18"/>
                <w:szCs w:val="18"/>
                <w:lang w:val="en-US"/>
              </w:rPr>
              <w:t>人活动区</w:t>
            </w:r>
            <w:bookmarkStart w:id="169" w:name="夏季无风区结果"/>
            <w:r>
              <w:t>没有</w:t>
            </w:r>
            <w:bookmarkEnd w:id="168"/>
            <w:bookmarkEnd w:id="169"/>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1D97AA52">
            <w:pPr>
              <w:jc w:val="center"/>
              <w:rPr>
                <w:rFonts w:ascii="微软雅黑" w:hAnsi="微软雅黑" w:eastAsia="微软雅黑"/>
                <w:sz w:val="18"/>
                <w:szCs w:val="18"/>
                <w:lang w:val="en-US"/>
              </w:rPr>
            </w:pPr>
            <w:bookmarkStart w:id="170" w:name="夏季无风区达标判定"/>
            <w:r>
              <w:rPr>
                <w:rFonts w:hint="eastAsia" w:ascii="微软雅黑" w:hAnsi="微软雅黑" w:eastAsia="微软雅黑"/>
                <w:b/>
                <w:sz w:val="18"/>
                <w:szCs w:val="18"/>
                <w:lang w:val="en-US"/>
              </w:rPr>
              <w:t>达标</w:t>
            </w:r>
            <w:bookmarkEnd w:id="170"/>
          </w:p>
        </w:tc>
        <w:tc>
          <w:tcPr>
            <w:tcW w:w="1276" w:type="dxa"/>
            <w:vMerge w:val="restart"/>
            <w:shd w:val="clear" w:color="auto" w:fill="auto"/>
            <w:vAlign w:val="center"/>
          </w:tcPr>
          <w:p w14:paraId="3D3760CA">
            <w:pPr>
              <w:jc w:val="center"/>
              <w:rPr>
                <w:rFonts w:ascii="微软雅黑" w:hAnsi="微软雅黑" w:eastAsia="微软雅黑"/>
                <w:sz w:val="18"/>
                <w:szCs w:val="18"/>
                <w:lang w:val="en-US"/>
              </w:rPr>
            </w:pPr>
            <w:bookmarkStart w:id="171" w:name="夏季无风区得分"/>
            <w:r>
              <w:rPr>
                <w:rFonts w:hint="eastAsia" w:ascii="微软雅黑" w:hAnsi="微软雅黑" w:eastAsia="微软雅黑"/>
                <w:sz w:val="18"/>
                <w:szCs w:val="18"/>
                <w:lang w:val="en-US"/>
              </w:rPr>
              <w:t>3</w:t>
            </w:r>
            <w:bookmarkEnd w:id="171"/>
            <w:r>
              <w:rPr>
                <w:rFonts w:hint="eastAsia" w:ascii="微软雅黑" w:hAnsi="微软雅黑" w:eastAsia="微软雅黑"/>
                <w:sz w:val="18"/>
                <w:szCs w:val="18"/>
                <w:lang w:val="en-US"/>
              </w:rPr>
              <w:t>分</w:t>
            </w:r>
          </w:p>
        </w:tc>
      </w:tr>
      <w:tr w14:paraId="17FCD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1BED818F">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305FB6E1">
            <w:pPr>
              <w:jc w:val="center"/>
              <w:rPr>
                <w:rFonts w:ascii="微软雅黑" w:hAnsi="微软雅黑" w:eastAsia="微软雅黑"/>
                <w:sz w:val="18"/>
                <w:szCs w:val="18"/>
                <w:lang w:val="en-US"/>
              </w:rPr>
            </w:pPr>
          </w:p>
        </w:tc>
        <w:tc>
          <w:tcPr>
            <w:tcW w:w="1985" w:type="dxa"/>
            <w:shd w:val="clear" w:color="auto" w:fill="auto"/>
            <w:vAlign w:val="center"/>
          </w:tcPr>
          <w:p w14:paraId="1F89B223">
            <w:pPr>
              <w:jc w:val="center"/>
              <w:rPr>
                <w:rFonts w:ascii="微软雅黑" w:hAnsi="微软雅黑" w:eastAsia="微软雅黑"/>
                <w:sz w:val="18"/>
                <w:szCs w:val="18"/>
                <w:lang w:val="en-US"/>
              </w:rPr>
            </w:pPr>
            <w:bookmarkStart w:id="172" w:name="夏季旋涡区结果人活动区文字"/>
            <w:r>
              <w:rPr>
                <w:rFonts w:hint="eastAsia" w:ascii="微软雅黑" w:hAnsi="微软雅黑" w:eastAsia="微软雅黑"/>
                <w:sz w:val="18"/>
                <w:szCs w:val="18"/>
                <w:lang w:val="en-US"/>
              </w:rPr>
              <w:t>人活动区</w:t>
            </w:r>
            <w:bookmarkEnd w:id="172"/>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3C887C03">
            <w:pPr>
              <w:jc w:val="center"/>
              <w:rPr>
                <w:rFonts w:ascii="微软雅黑" w:hAnsi="微软雅黑" w:eastAsia="微软雅黑"/>
                <w:sz w:val="18"/>
                <w:szCs w:val="18"/>
                <w:lang w:val="en-US"/>
              </w:rPr>
            </w:pPr>
          </w:p>
        </w:tc>
        <w:tc>
          <w:tcPr>
            <w:tcW w:w="1276" w:type="dxa"/>
            <w:vMerge w:val="continue"/>
            <w:shd w:val="clear" w:color="auto" w:fill="auto"/>
            <w:vAlign w:val="center"/>
          </w:tcPr>
          <w:p w14:paraId="69354D57">
            <w:pPr>
              <w:jc w:val="center"/>
              <w:rPr>
                <w:rFonts w:ascii="微软雅黑" w:hAnsi="微软雅黑" w:eastAsia="微软雅黑"/>
                <w:sz w:val="18"/>
                <w:szCs w:val="18"/>
                <w:lang w:val="en-US"/>
              </w:rPr>
            </w:pPr>
          </w:p>
        </w:tc>
      </w:tr>
      <w:tr w14:paraId="4449B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58D8D34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5C279EFF">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73" w:name="标准要求夏季风压得分"/>
            <w:r>
              <w:rPr>
                <w:rFonts w:hint="eastAsia" w:ascii="微软雅黑" w:hAnsi="微软雅黑" w:eastAsia="微软雅黑"/>
                <w:sz w:val="18"/>
                <w:szCs w:val="18"/>
                <w:lang w:val="en-US"/>
              </w:rPr>
              <w:t>2</w:t>
            </w:r>
            <w:bookmarkEnd w:id="173"/>
            <w:r>
              <w:rPr>
                <w:rFonts w:hint="eastAsia" w:ascii="微软雅黑" w:hAnsi="微软雅黑" w:eastAsia="微软雅黑"/>
                <w:sz w:val="18"/>
                <w:szCs w:val="18"/>
                <w:lang w:val="en-US"/>
              </w:rPr>
              <w:t>分。</w:t>
            </w:r>
          </w:p>
        </w:tc>
        <w:tc>
          <w:tcPr>
            <w:tcW w:w="1985" w:type="dxa"/>
            <w:shd w:val="clear" w:color="auto" w:fill="auto"/>
            <w:vAlign w:val="center"/>
          </w:tcPr>
          <w:p w14:paraId="12B99A86">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74" w:name="夏季窗内外风压差结果"/>
            <w:r>
              <w:rPr>
                <w:rFonts w:hint="eastAsia" w:ascii="微软雅黑" w:hAnsi="微软雅黑" w:eastAsia="微软雅黑"/>
                <w:sz w:val="18"/>
                <w:szCs w:val="18"/>
                <w:lang w:val="en-US"/>
              </w:rPr>
              <w:t>满足</w:t>
            </w:r>
            <w:bookmarkEnd w:id="174"/>
            <w:r>
              <w:rPr>
                <w:rFonts w:hint="eastAsia" w:ascii="微软雅黑" w:hAnsi="微软雅黑" w:eastAsia="微软雅黑"/>
                <w:sz w:val="18"/>
                <w:szCs w:val="18"/>
                <w:lang w:val="en-US"/>
              </w:rPr>
              <w:t>标准要求</w:t>
            </w:r>
          </w:p>
        </w:tc>
        <w:tc>
          <w:tcPr>
            <w:tcW w:w="1417" w:type="dxa"/>
            <w:shd w:val="clear" w:color="auto" w:fill="auto"/>
            <w:vAlign w:val="center"/>
          </w:tcPr>
          <w:p w14:paraId="57CA1030">
            <w:pPr>
              <w:jc w:val="center"/>
              <w:rPr>
                <w:rFonts w:ascii="微软雅黑" w:hAnsi="微软雅黑" w:eastAsia="微软雅黑"/>
                <w:b/>
                <w:sz w:val="18"/>
                <w:szCs w:val="18"/>
                <w:lang w:val="en-US"/>
              </w:rPr>
            </w:pPr>
            <w:bookmarkStart w:id="175" w:name="夏季窗内外风压差达标判定"/>
            <w:r>
              <w:rPr>
                <w:rFonts w:hint="eastAsia" w:ascii="微软雅黑" w:hAnsi="微软雅黑" w:eastAsia="微软雅黑"/>
                <w:b/>
                <w:sz w:val="18"/>
                <w:szCs w:val="18"/>
                <w:lang w:val="en-US"/>
              </w:rPr>
              <w:t>达标</w:t>
            </w:r>
            <w:bookmarkEnd w:id="175"/>
          </w:p>
        </w:tc>
        <w:tc>
          <w:tcPr>
            <w:tcW w:w="1276" w:type="dxa"/>
            <w:shd w:val="clear" w:color="auto" w:fill="auto"/>
            <w:vAlign w:val="center"/>
          </w:tcPr>
          <w:p w14:paraId="405FDE70">
            <w:pPr>
              <w:jc w:val="center"/>
              <w:rPr>
                <w:rFonts w:ascii="微软雅黑" w:hAnsi="微软雅黑" w:eastAsia="微软雅黑"/>
                <w:sz w:val="18"/>
                <w:szCs w:val="18"/>
                <w:lang w:val="en-US"/>
              </w:rPr>
            </w:pPr>
            <w:bookmarkStart w:id="176" w:name="夏季窗内外风压差得分"/>
            <w:r>
              <w:rPr>
                <w:rFonts w:hint="eastAsia" w:ascii="微软雅黑" w:hAnsi="微软雅黑" w:eastAsia="微软雅黑"/>
                <w:sz w:val="18"/>
                <w:szCs w:val="18"/>
                <w:lang w:val="en-US"/>
              </w:rPr>
              <w:t>2</w:t>
            </w:r>
            <w:bookmarkEnd w:id="176"/>
            <w:r>
              <w:rPr>
                <w:rFonts w:hint="eastAsia" w:ascii="微软雅黑" w:hAnsi="微软雅黑" w:eastAsia="微软雅黑"/>
                <w:sz w:val="18"/>
                <w:szCs w:val="18"/>
                <w:lang w:val="en-US"/>
              </w:rPr>
              <w:t>分</w:t>
            </w:r>
          </w:p>
        </w:tc>
      </w:tr>
    </w:tbl>
    <w:p w14:paraId="5733F46E">
      <w:pPr>
        <w:rPr>
          <w:rFonts w:ascii="微软雅黑" w:hAnsi="微软雅黑" w:eastAsia="微软雅黑"/>
          <w:szCs w:val="21"/>
          <w:lang w:val="en-US"/>
        </w:rPr>
      </w:pPr>
    </w:p>
    <w:p w14:paraId="340F50C3">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7" w:name="总得分"/>
      <w:r>
        <w:rPr>
          <w:rFonts w:hint="eastAsia" w:ascii="微软雅黑" w:hAnsi="微软雅黑" w:eastAsia="微软雅黑"/>
          <w:lang w:val="en-US"/>
        </w:rPr>
        <w:t>10</w:t>
      </w:r>
      <w:bookmarkEnd w:id="177"/>
      <w:r>
        <w:rPr>
          <w:rFonts w:hint="eastAsia" w:ascii="微软雅黑" w:hAnsi="微软雅黑" w:eastAsia="微软雅黑"/>
          <w:lang w:val="en-US"/>
        </w:rPr>
        <w:t>分。</w:t>
      </w:r>
    </w:p>
    <w:p w14:paraId="275545EE">
      <w:pPr>
        <w:pStyle w:val="2"/>
      </w:pPr>
      <w:bookmarkStart w:id="178" w:name="_Toc25816"/>
      <w:bookmarkStart w:id="179" w:name="附录"/>
      <w:r>
        <w:rPr>
          <w:rFonts w:hint="eastAsia"/>
        </w:rPr>
        <w:t>附录</w:t>
      </w:r>
      <w:bookmarkEnd w:id="178"/>
    </w:p>
    <w:p w14:paraId="70FE014F">
      <w:pPr>
        <w:pStyle w:val="4"/>
      </w:pPr>
      <w:bookmarkStart w:id="180" w:name="_Toc32360"/>
      <w:r>
        <w:rPr>
          <w:rFonts w:hint="eastAsia"/>
        </w:rPr>
        <w:t>参评建筑迎背风面窗平均风压差表</w:t>
      </w:r>
      <w:bookmarkEnd w:id="180"/>
    </w:p>
    <w:p w14:paraId="1CEC0C99">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81" w:name="建筑迎背风面风压差表_建筑名"/>
      <w:r>
        <w:rPr>
          <w:sz w:val="18"/>
          <w:szCs w:val="18"/>
        </w:rPr>
        <w:t>三稿平面_T8</w:t>
      </w:r>
      <w:bookmarkEnd w:id="181"/>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2C771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53960E6F">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3AE5C5AC">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7DC65B8E">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68ECF8EE">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22346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503DC4D">
            <w:pPr>
              <w:jc w:val="center"/>
              <w:rPr>
                <w:sz w:val="18"/>
                <w:szCs w:val="18"/>
                <w:lang w:val="en-US"/>
              </w:rPr>
            </w:pPr>
            <w:r>
              <w:rPr>
                <w:rFonts w:hint="eastAsia"/>
                <w:sz w:val="18"/>
                <w:szCs w:val="18"/>
                <w:lang w:val="en-US"/>
              </w:rPr>
              <w:t>1层</w:t>
            </w:r>
          </w:p>
        </w:tc>
        <w:tc>
          <w:tcPr>
            <w:tcW w:w="2410" w:type="dxa"/>
            <w:vAlign w:val="center"/>
          </w:tcPr>
          <w:p w14:paraId="45ACEB8D">
            <w:pPr>
              <w:jc w:val="center"/>
              <w:rPr>
                <w:sz w:val="18"/>
                <w:szCs w:val="18"/>
                <w:lang w:val="en-US"/>
              </w:rPr>
            </w:pPr>
            <w:r>
              <w:rPr>
                <w:sz w:val="18"/>
                <w:szCs w:val="18"/>
                <w:lang w:val="en-US"/>
              </w:rPr>
              <w:t>-1.45</w:t>
            </w:r>
          </w:p>
        </w:tc>
        <w:tc>
          <w:tcPr>
            <w:tcW w:w="2278" w:type="dxa"/>
            <w:vAlign w:val="center"/>
          </w:tcPr>
          <w:p w14:paraId="59205ACA">
            <w:pPr>
              <w:jc w:val="center"/>
              <w:rPr>
                <w:sz w:val="18"/>
                <w:szCs w:val="18"/>
                <w:lang w:val="en-US"/>
              </w:rPr>
            </w:pPr>
            <w:r>
              <w:rPr>
                <w:sz w:val="18"/>
                <w:szCs w:val="18"/>
                <w:lang w:val="en-US"/>
              </w:rPr>
              <w:t>-1.79</w:t>
            </w:r>
          </w:p>
        </w:tc>
        <w:tc>
          <w:tcPr>
            <w:tcW w:w="2420" w:type="dxa"/>
            <w:vAlign w:val="center"/>
          </w:tcPr>
          <w:p w14:paraId="63D83FE1">
            <w:pPr>
              <w:jc w:val="center"/>
              <w:rPr>
                <w:sz w:val="18"/>
                <w:szCs w:val="18"/>
                <w:lang w:val="en-US"/>
              </w:rPr>
            </w:pPr>
            <w:r>
              <w:rPr>
                <w:sz w:val="18"/>
                <w:szCs w:val="18"/>
                <w:lang w:val="en-US"/>
              </w:rPr>
              <w:t>0.34</w:t>
            </w:r>
          </w:p>
        </w:tc>
      </w:tr>
      <w:tr w14:paraId="00EDF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5FA030F">
            <w:pPr>
              <w:jc w:val="center"/>
              <w:rPr>
                <w:sz w:val="18"/>
                <w:szCs w:val="18"/>
                <w:lang w:val="en-US"/>
              </w:rPr>
            </w:pPr>
            <w:r>
              <w:rPr>
                <w:sz w:val="18"/>
                <w:szCs w:val="18"/>
                <w:lang w:val="en-US"/>
              </w:rPr>
              <w:t>2层</w:t>
            </w:r>
          </w:p>
        </w:tc>
        <w:tc>
          <w:tcPr>
            <w:tcW w:w="2410" w:type="dxa"/>
            <w:vAlign w:val="center"/>
          </w:tcPr>
          <w:p w14:paraId="500F8753">
            <w:pPr>
              <w:jc w:val="center"/>
              <w:rPr>
                <w:sz w:val="18"/>
                <w:szCs w:val="18"/>
                <w:lang w:val="en-US"/>
              </w:rPr>
            </w:pPr>
            <w:r>
              <w:rPr>
                <w:sz w:val="18"/>
                <w:szCs w:val="18"/>
                <w:lang w:val="en-US"/>
              </w:rPr>
              <w:t>-1.40</w:t>
            </w:r>
          </w:p>
        </w:tc>
        <w:tc>
          <w:tcPr>
            <w:tcW w:w="2278" w:type="dxa"/>
            <w:vAlign w:val="center"/>
          </w:tcPr>
          <w:p w14:paraId="21EE3C6F">
            <w:pPr>
              <w:jc w:val="center"/>
              <w:rPr>
                <w:sz w:val="18"/>
                <w:szCs w:val="18"/>
                <w:lang w:val="en-US"/>
              </w:rPr>
            </w:pPr>
            <w:r>
              <w:rPr>
                <w:sz w:val="18"/>
                <w:szCs w:val="18"/>
                <w:lang w:val="en-US"/>
              </w:rPr>
              <w:t>-1.83</w:t>
            </w:r>
          </w:p>
        </w:tc>
        <w:tc>
          <w:tcPr>
            <w:tcW w:w="2420" w:type="dxa"/>
            <w:vAlign w:val="center"/>
          </w:tcPr>
          <w:p w14:paraId="104E3E68">
            <w:pPr>
              <w:jc w:val="center"/>
              <w:rPr>
                <w:sz w:val="18"/>
                <w:szCs w:val="18"/>
                <w:lang w:val="en-US"/>
              </w:rPr>
            </w:pPr>
            <w:r>
              <w:rPr>
                <w:sz w:val="18"/>
                <w:szCs w:val="18"/>
                <w:lang w:val="en-US"/>
              </w:rPr>
              <w:t>0.43</w:t>
            </w:r>
          </w:p>
        </w:tc>
      </w:tr>
      <w:tr w14:paraId="641B9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00DD9B8B">
            <w:pPr>
              <w:jc w:val="center"/>
              <w:rPr>
                <w:sz w:val="18"/>
                <w:szCs w:val="18"/>
                <w:lang w:val="en-US"/>
              </w:rPr>
            </w:pPr>
            <w:r>
              <w:rPr>
                <w:sz w:val="18"/>
                <w:szCs w:val="18"/>
                <w:lang w:val="en-US"/>
              </w:rPr>
              <w:t>3层</w:t>
            </w:r>
          </w:p>
        </w:tc>
        <w:tc>
          <w:tcPr>
            <w:tcW w:w="2410" w:type="dxa"/>
            <w:vAlign w:val="center"/>
          </w:tcPr>
          <w:p w14:paraId="3CE5AE9E">
            <w:pPr>
              <w:jc w:val="center"/>
              <w:rPr>
                <w:sz w:val="18"/>
                <w:szCs w:val="18"/>
                <w:lang w:val="en-US"/>
              </w:rPr>
            </w:pPr>
            <w:r>
              <w:rPr>
                <w:sz w:val="18"/>
                <w:szCs w:val="18"/>
                <w:lang w:val="en-US"/>
              </w:rPr>
              <w:t>-1.97</w:t>
            </w:r>
          </w:p>
        </w:tc>
        <w:tc>
          <w:tcPr>
            <w:tcW w:w="2278" w:type="dxa"/>
            <w:vAlign w:val="center"/>
          </w:tcPr>
          <w:p w14:paraId="71A9D1FB">
            <w:pPr>
              <w:jc w:val="center"/>
              <w:rPr>
                <w:sz w:val="18"/>
                <w:szCs w:val="18"/>
                <w:lang w:val="en-US"/>
              </w:rPr>
            </w:pPr>
            <w:r>
              <w:rPr>
                <w:sz w:val="18"/>
                <w:szCs w:val="18"/>
                <w:lang w:val="en-US"/>
              </w:rPr>
              <w:t>-2.71</w:t>
            </w:r>
          </w:p>
        </w:tc>
        <w:tc>
          <w:tcPr>
            <w:tcW w:w="2420" w:type="dxa"/>
            <w:vAlign w:val="center"/>
          </w:tcPr>
          <w:p w14:paraId="0746DDB0">
            <w:pPr>
              <w:jc w:val="center"/>
              <w:rPr>
                <w:sz w:val="18"/>
                <w:szCs w:val="18"/>
                <w:lang w:val="en-US"/>
              </w:rPr>
            </w:pPr>
            <w:r>
              <w:rPr>
                <w:sz w:val="18"/>
                <w:szCs w:val="18"/>
                <w:lang w:val="en-US"/>
              </w:rPr>
              <w:t>0.74</w:t>
            </w:r>
          </w:p>
        </w:tc>
      </w:tr>
      <w:tr w14:paraId="62037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7BC99DC">
            <w:pPr>
              <w:jc w:val="center"/>
              <w:rPr>
                <w:sz w:val="18"/>
                <w:szCs w:val="18"/>
                <w:lang w:val="en-US"/>
              </w:rPr>
            </w:pPr>
            <w:r>
              <w:rPr>
                <w:rFonts w:hint="eastAsia"/>
                <w:sz w:val="18"/>
                <w:szCs w:val="18"/>
                <w:lang w:val="en-US"/>
              </w:rPr>
              <w:t>0层</w:t>
            </w:r>
          </w:p>
        </w:tc>
        <w:tc>
          <w:tcPr>
            <w:tcW w:w="2410" w:type="dxa"/>
            <w:vAlign w:val="center"/>
          </w:tcPr>
          <w:p w14:paraId="66FE2601">
            <w:pPr>
              <w:jc w:val="center"/>
              <w:rPr>
                <w:sz w:val="18"/>
                <w:szCs w:val="18"/>
                <w:lang w:val="en-US"/>
              </w:rPr>
            </w:pPr>
            <w:r>
              <w:rPr>
                <w:sz w:val="18"/>
                <w:szCs w:val="18"/>
                <w:lang w:val="en-US"/>
              </w:rPr>
              <w:t>-3.20</w:t>
            </w:r>
          </w:p>
        </w:tc>
        <w:tc>
          <w:tcPr>
            <w:tcW w:w="2278" w:type="dxa"/>
            <w:vAlign w:val="center"/>
          </w:tcPr>
          <w:p w14:paraId="3447504E">
            <w:pPr>
              <w:jc w:val="center"/>
              <w:rPr>
                <w:sz w:val="18"/>
                <w:szCs w:val="18"/>
                <w:lang w:val="en-US"/>
              </w:rPr>
            </w:pPr>
            <w:r>
              <w:rPr>
                <w:sz w:val="18"/>
                <w:szCs w:val="18"/>
                <w:lang w:val="en-US"/>
              </w:rPr>
              <w:t>-1.78</w:t>
            </w:r>
          </w:p>
        </w:tc>
        <w:tc>
          <w:tcPr>
            <w:tcW w:w="2420" w:type="dxa"/>
            <w:vAlign w:val="center"/>
          </w:tcPr>
          <w:p w14:paraId="7F5EC692">
            <w:pPr>
              <w:jc w:val="center"/>
              <w:rPr>
                <w:sz w:val="18"/>
                <w:szCs w:val="18"/>
                <w:lang w:val="en-US"/>
              </w:rPr>
            </w:pPr>
            <w:r>
              <w:rPr>
                <w:sz w:val="18"/>
                <w:szCs w:val="18"/>
                <w:lang w:val="en-US"/>
              </w:rPr>
              <w:t>-1.42</w:t>
            </w:r>
          </w:p>
        </w:tc>
      </w:tr>
      <w:tr w14:paraId="1F7F5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60ADB498">
            <w:pPr>
              <w:jc w:val="center"/>
              <w:rPr>
                <w:sz w:val="18"/>
                <w:szCs w:val="18"/>
                <w:lang w:val="en-US"/>
              </w:rPr>
            </w:pPr>
            <w:r>
              <w:rPr>
                <w:rFonts w:hint="eastAsia"/>
                <w:sz w:val="18"/>
                <w:szCs w:val="18"/>
                <w:lang w:val="en-US"/>
              </w:rPr>
              <w:t>整楼</w:t>
            </w:r>
          </w:p>
        </w:tc>
        <w:tc>
          <w:tcPr>
            <w:tcW w:w="2410" w:type="dxa"/>
            <w:vAlign w:val="center"/>
          </w:tcPr>
          <w:p w14:paraId="358F6484">
            <w:pPr>
              <w:jc w:val="center"/>
              <w:rPr>
                <w:sz w:val="18"/>
                <w:szCs w:val="18"/>
                <w:lang w:val="en-US"/>
              </w:rPr>
            </w:pPr>
            <w:r>
              <w:rPr>
                <w:sz w:val="18"/>
                <w:szCs w:val="18"/>
                <w:lang w:val="en-US"/>
              </w:rPr>
              <w:t>-1.57</w:t>
            </w:r>
          </w:p>
        </w:tc>
        <w:tc>
          <w:tcPr>
            <w:tcW w:w="2278" w:type="dxa"/>
            <w:vAlign w:val="center"/>
          </w:tcPr>
          <w:p w14:paraId="78272B40">
            <w:pPr>
              <w:jc w:val="center"/>
              <w:rPr>
                <w:sz w:val="18"/>
                <w:szCs w:val="18"/>
                <w:lang w:val="en-US"/>
              </w:rPr>
            </w:pPr>
            <w:r>
              <w:rPr>
                <w:sz w:val="18"/>
                <w:szCs w:val="18"/>
                <w:lang w:val="en-US"/>
              </w:rPr>
              <w:t>-1.90</w:t>
            </w:r>
          </w:p>
        </w:tc>
        <w:tc>
          <w:tcPr>
            <w:tcW w:w="2420" w:type="dxa"/>
            <w:vAlign w:val="center"/>
          </w:tcPr>
          <w:p w14:paraId="1E6E2047">
            <w:pPr>
              <w:jc w:val="center"/>
              <w:rPr>
                <w:sz w:val="18"/>
                <w:szCs w:val="18"/>
                <w:lang w:val="en-US"/>
              </w:rPr>
            </w:pPr>
            <w:r>
              <w:rPr>
                <w:sz w:val="18"/>
                <w:szCs w:val="18"/>
                <w:lang w:val="en-US"/>
              </w:rPr>
              <w:t>0.33</w:t>
            </w:r>
          </w:p>
        </w:tc>
      </w:tr>
      <w:bookmarkEnd w:id="0"/>
    </w:tbl>
    <w:p w14:paraId="1D003DE3">
      <w:bookmarkStart w:id="182" w:name="结论"/>
      <w:bookmarkEnd w:id="182"/>
    </w:p>
    <w:p w14:paraId="04DE2566">
      <w:pPr>
        <w:pStyle w:val="3"/>
        <w:ind w:left="420" w:firstLine="0" w:firstLineChars="0"/>
        <w:rPr>
          <w:rFonts w:ascii="微软雅黑" w:hAnsi="微软雅黑" w:eastAsia="微软雅黑"/>
          <w:lang w:val="en-US"/>
        </w:rPr>
      </w:pPr>
      <w:bookmarkStart w:id="183" w:name="迎风建筑信息参评"/>
      <w:bookmarkEnd w:id="183"/>
    </w:p>
    <w:p w14:paraId="1AC9058A">
      <w:pPr>
        <w:pStyle w:val="4"/>
      </w:pPr>
      <w:bookmarkStart w:id="184" w:name="_Toc25699"/>
      <w:r>
        <w:rPr>
          <w:rFonts w:hint="eastAsia"/>
        </w:rPr>
        <w:t>不参评建筑迎背风面窗平均风压差表</w:t>
      </w:r>
      <w:bookmarkEnd w:id="184"/>
    </w:p>
    <w:p w14:paraId="52B1FEAB">
      <w:pPr>
        <w:pStyle w:val="3"/>
        <w:ind w:left="420" w:firstLine="0" w:firstLineChars="0"/>
        <w:rPr>
          <w:rFonts w:ascii="微软雅黑" w:hAnsi="微软雅黑" w:eastAsia="微软雅黑"/>
          <w:lang w:val="en-US"/>
        </w:rPr>
      </w:pPr>
      <w:bookmarkStart w:id="185" w:name="迎风建筑信息不参评"/>
      <w:bookmarkEnd w:id="185"/>
    </w:p>
    <w:bookmarkEnd w:id="179"/>
    <w:p w14:paraId="385DC3B9">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088A4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22051D5D">
          <w:pPr>
            <w:pStyle w:val="20"/>
            <w:spacing w:line="360" w:lineRule="exact"/>
            <w:rPr>
              <w:sz w:val="20"/>
              <w:szCs w:val="21"/>
            </w:rPr>
          </w:pPr>
        </w:p>
      </w:tc>
      <w:tc>
        <w:tcPr>
          <w:tcW w:w="2841" w:type="dxa"/>
        </w:tcPr>
        <w:p w14:paraId="6FFB9152">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390B6BAE">
          <w:pPr>
            <w:pStyle w:val="20"/>
            <w:spacing w:line="360" w:lineRule="exact"/>
            <w:jc w:val="right"/>
            <w:rPr>
              <w:sz w:val="20"/>
              <w:szCs w:val="21"/>
            </w:rPr>
          </w:pPr>
        </w:p>
      </w:tc>
    </w:tr>
  </w:tbl>
  <w:p w14:paraId="0FABFC71">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09230">
    <w:pPr>
      <w:pStyle w:val="20"/>
      <w:jc w:val="center"/>
      <w:rPr>
        <w:rFonts w:asciiTheme="minorEastAsia" w:hAnsiTheme="minorEastAsia" w:eastAsiaTheme="minorEastAsia"/>
        <w:szCs w:val="21"/>
      </w:rPr>
    </w:pPr>
  </w:p>
  <w:p w14:paraId="41D9848F">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B184D">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0C5E72"/>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170C5E72"/>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unhideWhenUsed="0" w:uiPriority="39" w:semiHidden="0" w:name="toc 2"/>
    <w:lsdException w:qFormat="1" w:unhideWhenUsed="0" w:uiPriority="39" w:semiHidden="0" w:name="toc 3"/>
    <w:lsdException w:uiPriority="0" w:semiHidden="0" w:name="toc 4"/>
    <w:lsdException w:uiPriority="0" w:semiHidden="0" w:name="toc 5"/>
    <w:lsdException w:uiPriority="0" w:semiHidden="0" w:name="toc 6"/>
    <w:lsdException w:uiPriority="0" w:semiHidden="0" w:name="toc 7"/>
    <w:lsdException w:qFormat="1" w:uiPriority="0" w:semiHidden="0" w:name="toc 8"/>
    <w:lsdException w:uiPriority="0" w:semiHidden="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qFormat/>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uiPriority w:val="39"/>
    <w:pPr>
      <w:spacing w:line="400" w:lineRule="exact"/>
      <w:ind w:left="210"/>
    </w:pPr>
    <w:rPr>
      <w:rFonts w:asciiTheme="minorHAnsi" w:hAnsiTheme="minorHAnsi" w:cstheme="minorHAnsi"/>
      <w:iCs/>
    </w:rPr>
  </w:style>
  <w:style w:type="paragraph" w:styleId="26">
    <w:name w:val="toc 9"/>
    <w:basedOn w:val="1"/>
    <w:next w:val="1"/>
    <w:autoRedefine/>
    <w:unhideWhenUsed/>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oleObject" Target="embeddings/oleObject6.bin"/><Relationship Id="rId27" Type="http://schemas.openxmlformats.org/officeDocument/2006/relationships/image" Target="media/image17.wmf"/><Relationship Id="rId26" Type="http://schemas.openxmlformats.org/officeDocument/2006/relationships/oleObject" Target="embeddings/oleObject5.bin"/><Relationship Id="rId25" Type="http://schemas.openxmlformats.org/officeDocument/2006/relationships/image" Target="media/image16.wmf"/><Relationship Id="rId24" Type="http://schemas.openxmlformats.org/officeDocument/2006/relationships/oleObject" Target="embeddings/oleObject4.bin"/><Relationship Id="rId23" Type="http://schemas.openxmlformats.org/officeDocument/2006/relationships/image" Target="media/image15.wmf"/><Relationship Id="rId22" Type="http://schemas.openxmlformats.org/officeDocument/2006/relationships/oleObject" Target="embeddings/oleObject3.bin"/><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ilin\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tmp5.dotx</Template>
  <Pages>32</Pages>
  <Words>8761</Words>
  <Characters>10152</Characters>
  <Lines>47</Lines>
  <Paragraphs>13</Paragraphs>
  <TotalTime>0</TotalTime>
  <ScaleCrop>false</ScaleCrop>
  <LinksUpToDate>false</LinksUpToDate>
  <CharactersWithSpaces>12540</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2025-12-31T16:19:00Z</dcterms:created>
  <dc:creator>qilin</dc:creator>
  <cp:lastModifiedBy>WPS_1694411158</cp:lastModifiedBy>
  <dcterms:modified xsi:type="dcterms:W3CDTF">2025-12-31T16:20:14Z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201B4D713A6341E9BA28AC85CB71D4E0_11</vt:lpwstr>
  </property>
  <property fmtid="{D5CDD505-2E9C-101B-9397-08002B2CF9AE}" pid="4" name="KSOTemplateDocerSaveRecord">
    <vt:lpwstr>eyJoZGlkIjoiYTExNzUyZGYxYWM2ZDJiNGQxNmQ0YWNhOThkNTE1ZTUiLCJ1c2VySWQiOiIxNTMwNTQyMTEyIn0=</vt:lpwstr>
  </property>
</Properties>
</file>