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line="240" w:lineRule="exact"/>
        <w:rPr>
          <w:b/>
          <w:sz w:val="21"/>
          <w:szCs w:val="21"/>
        </w:rPr>
      </w:pPr>
    </w:p>
    <w:p>
      <w:pPr>
        <w:pStyle w:val="50"/>
        <w:spacing w:line="240" w:lineRule="exact"/>
        <w:rPr>
          <w:b/>
          <w:sz w:val="21"/>
          <w:szCs w:val="21"/>
        </w:rPr>
      </w:pPr>
    </w:p>
    <w:p>
      <w:pPr>
        <w:pStyle w:val="50"/>
        <w:spacing w:line="240" w:lineRule="exact"/>
        <w:rPr>
          <w:b/>
          <w:sz w:val="21"/>
          <w:szCs w:val="21"/>
        </w:rPr>
      </w:pPr>
    </w:p>
    <w:p>
      <w:pPr>
        <w:pStyle w:val="50"/>
        <w:ind w:right="-57" w:rightChars="-27"/>
        <w:jc w:val="distribute"/>
        <w:rPr>
          <w:b/>
          <w:sz w:val="72"/>
          <w:szCs w:val="72"/>
        </w:rPr>
      </w:pPr>
      <w:r>
        <w:rPr>
          <w:rFonts w:hint="eastAsia"/>
          <w:b/>
          <w:sz w:val="72"/>
          <w:szCs w:val="72"/>
        </w:rPr>
        <w:t>室内热湿环境评价</w:t>
      </w:r>
    </w:p>
    <w:p>
      <w:pPr>
        <w:pStyle w:val="54"/>
        <w:rPr>
          <w:sz w:val="52"/>
          <w:szCs w:val="52"/>
        </w:rPr>
      </w:pPr>
      <w:bookmarkStart w:id="0" w:name="建筑类别"/>
      <w:r>
        <w:rPr>
          <w:rFonts w:hint="eastAsia"/>
          <w:sz w:val="52"/>
          <w:szCs w:val="52"/>
        </w:rPr>
        <w:t>公共建筑</w:t>
      </w:r>
    </w:p>
    <w:p>
      <w:pPr>
        <w:pStyle w:val="54"/>
        <w:spacing w:line="400" w:lineRule="exact"/>
      </w:pPr>
    </w:p>
    <w:p>
      <w:pPr>
        <w:pStyle w:val="54"/>
        <w:rPr>
          <w:sz w:val="36"/>
          <w:szCs w:val="36"/>
        </w:rPr>
      </w:pPr>
      <w:bookmarkStart w:id="1" w:name="项目名称"/>
      <w:r>
        <w:rPr>
          <w:rFonts w:hint="eastAsia"/>
          <w:sz w:val="36"/>
          <w:szCs w:val="36"/>
        </w:rPr>
        <w:t>服务中心</w:t>
      </w:r>
    </w:p>
    <w:p>
      <w:pPr>
        <w:pStyle w:val="54"/>
        <w:rPr>
          <w:b/>
        </w:rPr>
      </w:pPr>
      <w:r>
        <w:rPr>
          <w:rFonts w:hint="eastAsia"/>
          <w:b/>
        </w:rPr>
        <w:t>设计编号：</w:t>
      </w:r>
      <w:bookmarkStart w:id="2" w:name="设计编号"/>
    </w:p>
    <w:p>
      <w:pPr>
        <w:pStyle w:val="54"/>
        <w:rPr>
          <w:b/>
        </w:rPr>
      </w:pPr>
    </w:p>
    <w:p>
      <w:pPr>
        <w:pStyle w:val="50"/>
        <w:jc w:val="center"/>
        <w:rPr>
          <w:sz w:val="21"/>
          <w:szCs w:val="21"/>
        </w:rPr>
      </w:pPr>
      <w:bookmarkStart w:id="3" w:name="二维码"/>
      <w:r>
        <w:drawing>
          <wp:inline distT="0" distB="0" distL="0" distR="0">
            <wp:extent cx="1085850" cy="108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pPr>
        <w:pStyle w:val="50"/>
        <w:jc w:val="center"/>
        <w:rPr>
          <w:sz w:val="21"/>
          <w:szCs w:val="21"/>
        </w:rPr>
      </w:pPr>
    </w:p>
    <w:p>
      <w:pPr>
        <w:pStyle w:val="50"/>
        <w:spacing w:line="240" w:lineRule="exact"/>
        <w:rPr>
          <w:sz w:val="21"/>
          <w:szCs w:val="21"/>
        </w:rPr>
      </w:pPr>
    </w:p>
    <w:p>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工程地点</w:t>
            </w:r>
          </w:p>
        </w:tc>
        <w:tc>
          <w:tcPr>
            <w:tcW w:w="475" w:type="dxa"/>
            <w:vAlign w:val="center"/>
          </w:tcPr>
          <w:p>
            <w:pPr>
              <w:pStyle w:val="50"/>
              <w:spacing w:line="600" w:lineRule="exact"/>
              <w:ind w:right="-31" w:rightChars="-15"/>
              <w:jc w:val="center"/>
            </w:pPr>
            <w:r>
              <w:rPr>
                <w:rFonts w:hint="eastAsia"/>
              </w:rPr>
              <w:t>：</w:t>
            </w:r>
          </w:p>
        </w:tc>
        <w:tc>
          <w:tcPr>
            <w:tcW w:w="4624" w:type="dxa"/>
            <w:tcBorders>
              <w:bottom w:val="single" w:color="auto" w:sz="4" w:space="0"/>
            </w:tcBorders>
            <w:vAlign w:val="center"/>
          </w:tcPr>
          <w:p>
            <w:pPr>
              <w:pStyle w:val="50"/>
              <w:spacing w:line="600" w:lineRule="exact"/>
              <w:jc w:val="center"/>
            </w:pPr>
            <w:bookmarkStart w:id="4" w:name="项目地点"/>
            <w:bookmarkStart w:id="5" w:name="工程地点"/>
            <w:r>
              <w:t>江西-南昌</w:t>
            </w:r>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建设单位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设计单位</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7" w:name="设计单位"/>
            <w:r>
              <w:t>南昌大学</w:t>
            </w:r>
            <w:bookmarkEnd w:id="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设计人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校对人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审定人</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0"/>
              <w:spacing w:line="600" w:lineRule="exact"/>
              <w:jc w:val="distribute"/>
            </w:pPr>
            <w:r>
              <w:rPr>
                <w:rFonts w:hint="eastAsia"/>
              </w:rPr>
              <w:t>报告日期</w:t>
            </w:r>
          </w:p>
        </w:tc>
        <w:tc>
          <w:tcPr>
            <w:tcW w:w="475" w:type="dxa"/>
            <w:vAlign w:val="center"/>
          </w:tcPr>
          <w:p>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50"/>
              <w:spacing w:line="600" w:lineRule="exact"/>
              <w:jc w:val="center"/>
            </w:pPr>
            <w:bookmarkStart w:id="8" w:name="报告日期"/>
            <w:r>
              <w:t>2026年01月01日</w:t>
            </w:r>
            <w:bookmarkEnd w:id="8"/>
          </w:p>
        </w:tc>
      </w:tr>
    </w:tbl>
    <w:p>
      <w:pPr>
        <w:spacing w:line="240" w:lineRule="exact"/>
      </w:pPr>
    </w:p>
    <w:p>
      <w:pPr>
        <w:pStyle w:val="52"/>
        <w:rPr>
          <w:sz w:val="21"/>
        </w:rPr>
      </w:pPr>
    </w:p>
    <w:p>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2"/>
              <w:rPr>
                <w:szCs w:val="18"/>
              </w:rPr>
            </w:pPr>
            <w:r>
              <w:rPr>
                <w:rFonts w:hint="eastAsia"/>
                <w:szCs w:val="18"/>
              </w:rPr>
              <w:t xml:space="preserve">: </w:t>
            </w:r>
            <w:bookmarkStart w:id="11" w:name="加密锁号"/>
            <w:r>
              <w:rPr>
                <w:rFonts w:hint="eastAsia"/>
                <w:szCs w:val="18"/>
              </w:rPr>
              <w:t>T15879950630</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_Toc31421 </w:instrText>
      </w:r>
      <w:r>
        <w:rPr>
          <w:szCs w:val="32"/>
        </w:rPr>
        <w:fldChar w:fldCharType="separate"/>
      </w:r>
      <w:r>
        <w:rPr>
          <w:rFonts w:hint="eastAsia"/>
        </w:rPr>
        <w:t>1 项目概况</w:t>
      </w:r>
      <w:r>
        <w:tab/>
      </w:r>
      <w:r>
        <w:fldChar w:fldCharType="begin"/>
      </w:r>
      <w:r>
        <w:instrText xml:space="preserve"> PAGEREF _Toc31421 \h </w:instrText>
      </w:r>
      <w:r>
        <w:fldChar w:fldCharType="separate"/>
      </w:r>
      <w:r>
        <w:t>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_Toc9936 </w:instrText>
      </w:r>
      <w:r>
        <w:rPr>
          <w:szCs w:val="32"/>
        </w:rPr>
        <w:fldChar w:fldCharType="separate"/>
      </w:r>
      <w:r>
        <w:rPr>
          <w:rFonts w:hint="eastAsia"/>
          <w:lang w:val="en-GB"/>
        </w:rPr>
        <w:t xml:space="preserve">1.1 </w:t>
      </w:r>
      <w:r>
        <w:t>平面图</w:t>
      </w:r>
      <w:r>
        <w:tab/>
      </w:r>
      <w:r>
        <w:fldChar w:fldCharType="begin"/>
      </w:r>
      <w:r>
        <w:instrText xml:space="preserve"> PAGEREF _Toc9936 \h </w:instrText>
      </w:r>
      <w:r>
        <w:fldChar w:fldCharType="separate"/>
      </w:r>
      <w:r>
        <w:t>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_Toc26694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_Toc26694 \h </w:instrText>
      </w:r>
      <w:r>
        <w:fldChar w:fldCharType="separate"/>
      </w:r>
      <w:r>
        <w:t>5</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_Toc12809 </w:instrText>
      </w:r>
      <w:r>
        <w:rPr>
          <w:szCs w:val="32"/>
        </w:rPr>
        <w:fldChar w:fldCharType="separate"/>
      </w:r>
      <w:r>
        <w:rPr>
          <w:rFonts w:hint="eastAsia"/>
        </w:rPr>
        <w:t>2 计算</w:t>
      </w:r>
      <w:r>
        <w:t>依据</w:t>
      </w:r>
      <w:r>
        <w:tab/>
      </w:r>
      <w:r>
        <w:fldChar w:fldCharType="begin"/>
      </w:r>
      <w:r>
        <w:instrText xml:space="preserve"> PAGEREF _Toc12809 \h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_Toc19646 </w:instrText>
      </w:r>
      <w:r>
        <w:rPr>
          <w:szCs w:val="32"/>
        </w:rPr>
        <w:fldChar w:fldCharType="separate"/>
      </w:r>
      <w:r>
        <w:rPr>
          <w:rFonts w:hint="eastAsia"/>
        </w:rPr>
        <w:t>3 参考</w:t>
      </w:r>
      <w:r>
        <w:t>标准</w:t>
      </w:r>
      <w:r>
        <w:tab/>
      </w:r>
      <w:r>
        <w:fldChar w:fldCharType="begin"/>
      </w:r>
      <w:r>
        <w:instrText xml:space="preserve"> PAGEREF _Toc19646 \h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_Toc27988 </w:instrText>
      </w:r>
      <w:r>
        <w:rPr>
          <w:szCs w:val="32"/>
        </w:rPr>
        <w:fldChar w:fldCharType="separate"/>
      </w:r>
      <w:r>
        <w:rPr>
          <w:rFonts w:hint="eastAsia"/>
        </w:rPr>
        <w:t>4 计算方法</w:t>
      </w:r>
      <w:r>
        <w:tab/>
      </w:r>
      <w:r>
        <w:fldChar w:fldCharType="begin"/>
      </w:r>
      <w:r>
        <w:instrText xml:space="preserve"> PAGEREF _Toc27988 \h </w:instrText>
      </w:r>
      <w:r>
        <w:fldChar w:fldCharType="separate"/>
      </w:r>
      <w:r>
        <w:t>6</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_Toc28515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_Toc28515 \h </w:instrText>
      </w:r>
      <w:r>
        <w:fldChar w:fldCharType="separate"/>
      </w:r>
      <w:r>
        <w:t>6</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_Toc23537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_Toc23537 \h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_Toc9095 </w:instrText>
      </w:r>
      <w:r>
        <w:rPr>
          <w:szCs w:val="32"/>
        </w:rPr>
        <w:fldChar w:fldCharType="separate"/>
      </w:r>
      <w:r>
        <w:rPr>
          <w:rFonts w:hint="eastAsia"/>
        </w:rPr>
        <w:t>5 结果</w:t>
      </w:r>
      <w:r>
        <w:t>分析</w:t>
      </w:r>
      <w:r>
        <w:tab/>
      </w:r>
      <w:r>
        <w:fldChar w:fldCharType="begin"/>
      </w:r>
      <w:r>
        <w:instrText xml:space="preserve"> PAGEREF _Toc9095 \h </w:instrText>
      </w:r>
      <w:r>
        <w:fldChar w:fldCharType="separate"/>
      </w:r>
      <w:r>
        <w:t>10</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_Toc13493 </w:instrText>
      </w:r>
      <w:r>
        <w:rPr>
          <w:szCs w:val="32"/>
        </w:rPr>
        <w:fldChar w:fldCharType="separate"/>
      </w:r>
      <w:r>
        <w:rPr>
          <w:rFonts w:hint="eastAsia"/>
          <w:lang w:val="en-GB"/>
        </w:rPr>
        <w:t xml:space="preserve">5.1 </w:t>
      </w:r>
      <w:r>
        <w:t>3层分析图</w:t>
      </w:r>
      <w:r>
        <w:tab/>
      </w:r>
      <w:r>
        <w:fldChar w:fldCharType="begin"/>
      </w:r>
      <w:r>
        <w:instrText xml:space="preserve"> PAGEREF _Toc13493 \h </w:instrText>
      </w:r>
      <w:r>
        <w:fldChar w:fldCharType="separate"/>
      </w:r>
      <w:r>
        <w:t>11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_Toc23117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_Toc23117 \h </w:instrText>
      </w:r>
      <w:r>
        <w:fldChar w:fldCharType="separate"/>
      </w:r>
      <w:r>
        <w:t>13</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_Toc27472 </w:instrText>
      </w:r>
      <w:r>
        <w:rPr>
          <w:szCs w:val="32"/>
        </w:rPr>
        <w:fldChar w:fldCharType="separate"/>
      </w:r>
      <w:r>
        <w:rPr>
          <w:rFonts w:hint="eastAsia"/>
        </w:rPr>
        <w:t>6 结论</w:t>
      </w:r>
      <w:r>
        <w:tab/>
      </w:r>
      <w:r>
        <w:fldChar w:fldCharType="begin"/>
      </w:r>
      <w:r>
        <w:instrText xml:space="preserve"> PAGEREF _Toc27472 \h </w:instrText>
      </w:r>
      <w:r>
        <w:fldChar w:fldCharType="separate"/>
      </w:r>
      <w:r>
        <w:t>14</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_Toc19283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_Toc19283 \h </w:instrText>
      </w:r>
      <w:r>
        <w:fldChar w:fldCharType="separate"/>
      </w:r>
      <w:r>
        <w:t>15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_Toc26833 </w:instrText>
      </w:r>
      <w:r>
        <w:rPr>
          <w:szCs w:val="32"/>
        </w:rPr>
        <w:fldChar w:fldCharType="separate"/>
      </w:r>
      <w:r>
        <w:rPr>
          <w:rFonts w:hint="eastAsia"/>
          <w:lang w:val="en-GB"/>
        </w:rPr>
        <w:t xml:space="preserve">7.1 </w:t>
      </w:r>
      <w:r>
        <w:t>3027[藏品库]</w:t>
      </w:r>
      <w:r>
        <w:tab/>
      </w:r>
      <w:r>
        <w:fldChar w:fldCharType="begin"/>
      </w:r>
      <w:r>
        <w:instrText xml:space="preserve"> PAGEREF _Toc26833 \h </w:instrText>
      </w:r>
      <w:r>
        <w:fldChar w:fldCharType="separate"/>
      </w:r>
      <w:r>
        <w:t>15</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_Toc13237 </w:instrText>
      </w:r>
      <w:r>
        <w:rPr>
          <w:szCs w:val="32"/>
        </w:rPr>
        <w:fldChar w:fldCharType="separate"/>
      </w:r>
      <w:r>
        <w:rPr>
          <w:rFonts w:hint="eastAsia"/>
          <w:lang w:val="en-GB"/>
        </w:rPr>
        <w:t xml:space="preserve">7.2 </w:t>
      </w:r>
      <w:r>
        <w:t>3002[文化展厅]</w:t>
      </w:r>
      <w:r>
        <w:tab/>
      </w:r>
      <w:r>
        <w:fldChar w:fldCharType="begin"/>
      </w:r>
      <w:r>
        <w:instrText xml:space="preserve"> PAGEREF _Toc13237 \h </w:instrText>
      </w:r>
      <w:r>
        <w:fldChar w:fldCharType="separate"/>
      </w:r>
      <w:r>
        <w:t>17</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_Toc5409 </w:instrText>
      </w:r>
      <w:r>
        <w:rPr>
          <w:szCs w:val="32"/>
        </w:rPr>
        <w:fldChar w:fldCharType="separate"/>
      </w:r>
      <w:r>
        <w:rPr>
          <w:rFonts w:hint="eastAsia"/>
          <w:lang w:val="en-GB"/>
        </w:rPr>
        <w:t xml:space="preserve">7.3 </w:t>
      </w:r>
      <w:r>
        <w:t>3047[空房间]</w:t>
      </w:r>
      <w:r>
        <w:tab/>
      </w:r>
      <w:r>
        <w:fldChar w:fldCharType="begin"/>
      </w:r>
      <w:r>
        <w:instrText xml:space="preserve"> PAGEREF _Toc5409 \h </w:instrText>
      </w:r>
      <w:r>
        <w:fldChar w:fldCharType="separate"/>
      </w:r>
      <w:r>
        <w:t>19</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_Toc26117 </w:instrText>
      </w:r>
      <w:r>
        <w:rPr>
          <w:szCs w:val="32"/>
        </w:rPr>
        <w:fldChar w:fldCharType="separate"/>
      </w:r>
      <w:r>
        <w:rPr>
          <w:rFonts w:hint="eastAsia"/>
          <w:lang w:val="en-GB"/>
        </w:rPr>
        <w:t xml:space="preserve">7.4 </w:t>
      </w:r>
      <w:r>
        <w:t>3042[普通办公室]</w:t>
      </w:r>
      <w:r>
        <w:tab/>
      </w:r>
      <w:r>
        <w:fldChar w:fldCharType="begin"/>
      </w:r>
      <w:r>
        <w:instrText xml:space="preserve"> PAGEREF _Toc26117 \h </w:instrText>
      </w:r>
      <w:r>
        <w:fldChar w:fldCharType="separate"/>
      </w:r>
      <w:r>
        <w:t>21</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_Toc8594 </w:instrText>
      </w:r>
      <w:r>
        <w:rPr>
          <w:szCs w:val="32"/>
        </w:rPr>
        <w:fldChar w:fldCharType="separate"/>
      </w:r>
      <w:r>
        <w:rPr>
          <w:rFonts w:hint="eastAsia"/>
          <w:lang w:val="en-GB"/>
        </w:rPr>
        <w:t xml:space="preserve">7.5 </w:t>
      </w:r>
      <w:r>
        <w:t>3039[卫生间]</w:t>
      </w:r>
      <w:r>
        <w:tab/>
      </w:r>
      <w:r>
        <w:fldChar w:fldCharType="begin"/>
      </w:r>
      <w:r>
        <w:instrText xml:space="preserve"> PAGEREF _Toc8594 \h </w:instrText>
      </w:r>
      <w:r>
        <w:fldChar w:fldCharType="separate"/>
      </w:r>
      <w:r>
        <w:t>23</w:t>
      </w:r>
      <w:r>
        <w:fldChar w:fldCharType="end"/>
      </w:r>
      <w:r>
        <w:rPr>
          <w:szCs w:val="32"/>
        </w:rPr>
        <w:fldChar w:fldCharType="end"/>
      </w:r>
    </w:p>
    <w:p>
      <w:pPr>
        <w:pStyle w:val="21"/>
        <w:tabs>
          <w:tab w:val="right" w:leader="dot" w:pos="8306"/>
          <w:tab w:val="clear" w:pos="540"/>
          <w:tab w:val="clear" w:pos="840"/>
          <w:tab w:val="clear" w:pos="8222"/>
        </w:tabs>
      </w:pPr>
      <w:r>
        <w:rPr>
          <w:szCs w:val="32"/>
        </w:rPr>
        <w:fldChar w:fldCharType="begin"/>
      </w:r>
      <w:r>
        <w:rPr>
          <w:szCs w:val="32"/>
        </w:rPr>
        <w:instrText xml:space="preserve"> HYPERLINK \l _Toc31535 </w:instrText>
      </w:r>
      <w:r>
        <w:rPr>
          <w:szCs w:val="32"/>
        </w:rPr>
        <w:fldChar w:fldCharType="separate"/>
      </w:r>
      <w:r>
        <w:rPr>
          <w:rFonts w:hint="eastAsia"/>
          <w:lang w:val="en-GB"/>
        </w:rPr>
        <w:t xml:space="preserve">7.6 </w:t>
      </w:r>
      <w:r>
        <w:t>3014[走廊]</w:t>
      </w:r>
      <w:r>
        <w:tab/>
      </w:r>
      <w:r>
        <w:fldChar w:fldCharType="begin"/>
      </w:r>
      <w:r>
        <w:instrText xml:space="preserve"> PAGEREF _Toc31535 \h </w:instrText>
      </w:r>
      <w:r>
        <w:fldChar w:fldCharType="separate"/>
      </w:r>
      <w:r>
        <w:t>25</w:t>
      </w:r>
      <w:r>
        <w:fldChar w:fldCharType="end"/>
      </w:r>
      <w:r>
        <w:rPr>
          <w:szCs w:val="32"/>
        </w:rPr>
        <w:fldChar w:fldCharType="end"/>
      </w:r>
    </w:p>
    <w:p>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bookmarkStart w:id="95" w:name="_GoBack"/>
    </w:p>
    <w:bookmarkEnd w:id="95"/>
    <w:p>
      <w:pPr>
        <w:pStyle w:val="2"/>
        <w:spacing w:before="312"/>
      </w:pPr>
      <w:bookmarkStart w:id="13" w:name="_Toc452108759"/>
      <w:bookmarkStart w:id="14" w:name="_Toc13735908"/>
      <w:bookmarkStart w:id="15" w:name="_Toc31421"/>
      <w:r>
        <w:rPr>
          <w:rFonts w:hint="eastAsia"/>
        </w:rPr>
        <w:t>项目概况</w:t>
      </w:r>
      <w:bookmarkEnd w:id="13"/>
      <w:bookmarkEnd w:id="14"/>
      <w:bookmarkEnd w:id="15"/>
    </w:p>
    <w:p>
      <w:pPr>
        <w:pStyle w:val="3"/>
        <w:ind w:firstLine="420"/>
        <w:rPr>
          <w:rFonts w:ascii="微软雅黑" w:hAnsi="微软雅黑" w:eastAsia="微软雅黑"/>
          <w:lang w:val="en-US"/>
        </w:rPr>
      </w:pPr>
      <w:bookmarkStart w:id="16" w:name="项目概况"/>
      <w:bookmarkEnd w:id="16"/>
    </w:p>
    <w:p>
      <w:pPr>
        <w:pStyle w:val="3"/>
        <w:ind w:firstLine="420"/>
        <w:rPr>
          <w:rFonts w:ascii="微软雅黑" w:hAnsi="微软雅黑" w:eastAsia="微软雅黑"/>
          <w:lang w:val="en-US"/>
        </w:rPr>
      </w:pPr>
    </w:p>
    <w:p>
      <w:pPr>
        <w:pStyle w:val="4"/>
        <w:spacing w:before="156"/>
      </w:pPr>
      <w:bookmarkStart w:id="17" w:name="_Toc452108760"/>
      <w:bookmarkStart w:id="18" w:name="_Toc13735909"/>
      <w:bookmarkStart w:id="19" w:name="_Toc9936"/>
      <w:bookmarkStart w:id="20" w:name="平面图2"/>
      <w:r>
        <w:t>平面图</w:t>
      </w:r>
      <w:bookmarkEnd w:id="17"/>
      <w:bookmarkEnd w:id="18"/>
      <w:bookmarkEnd w:id="19"/>
    </w:p>
    <w:p>
      <w:pPr>
        <w:jc w:val="center"/>
      </w:pPr>
      <w:bookmarkStart w:id="21" w:name="平面图"/>
      <w:bookmarkEnd w:id="21"/>
      <w:r>
        <w:drawing>
          <wp:inline distT="0" distB="0" distL="0" distR="0">
            <wp:extent cx="5667375" cy="3457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3457575"/>
                    </a:xfrm>
                    <a:prstGeom prst="rect">
                      <a:avLst/>
                    </a:prstGeom>
                  </pic:spPr>
                </pic:pic>
              </a:graphicData>
            </a:graphic>
          </wp:inline>
        </w:drawing>
      </w:r>
    </w:p>
    <w:p>
      <w:pPr>
        <w:jc w:val="center"/>
      </w:pPr>
      <w:r>
        <w:t>1层平面</w:t>
      </w:r>
    </w:p>
    <w:p>
      <w:pPr>
        <w:jc w:val="center"/>
      </w:pPr>
      <w:r>
        <w:drawing>
          <wp:inline distT="0" distB="0" distL="0" distR="0">
            <wp:extent cx="5667375" cy="34480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3448050"/>
                    </a:xfrm>
                    <a:prstGeom prst="rect">
                      <a:avLst/>
                    </a:prstGeom>
                  </pic:spPr>
                </pic:pic>
              </a:graphicData>
            </a:graphic>
          </wp:inline>
        </w:drawing>
      </w:r>
    </w:p>
    <w:p>
      <w:pPr>
        <w:jc w:val="center"/>
      </w:pPr>
      <w:r>
        <w:t>2层平面</w:t>
      </w:r>
    </w:p>
    <w:p>
      <w:pPr>
        <w:jc w:val="center"/>
      </w:pPr>
      <w:r>
        <w:drawing>
          <wp:inline distT="0" distB="0" distL="0" distR="0">
            <wp:extent cx="5667375" cy="3324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pPr>
        <w:jc w:val="center"/>
      </w:pPr>
      <w:r>
        <w:t>3层平面</w:t>
      </w:r>
    </w:p>
    <w:p>
      <w:pPr>
        <w:jc w:val="center"/>
      </w:pPr>
      <w:r>
        <w:drawing>
          <wp:inline distT="0" distB="0" distL="0" distR="0">
            <wp:extent cx="5667375" cy="5524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667375" cy="5524500"/>
                    </a:xfrm>
                    <a:prstGeom prst="rect">
                      <a:avLst/>
                    </a:prstGeom>
                  </pic:spPr>
                </pic:pic>
              </a:graphicData>
            </a:graphic>
          </wp:inline>
        </w:drawing>
      </w:r>
    </w:p>
    <w:p>
      <w:pPr>
        <w:jc w:val="center"/>
      </w:pPr>
      <w:r>
        <w:t>4层平面</w:t>
      </w:r>
    </w:p>
    <w:p>
      <w:pPr>
        <w:jc w:val="center"/>
      </w:pPr>
    </w:p>
    <w:bookmarkEnd w:id="20"/>
    <w:p>
      <w:pPr>
        <w:pStyle w:val="3"/>
        <w:ind w:firstLine="0" w:firstLineChars="0"/>
        <w:jc w:val="center"/>
        <w:rPr>
          <w:rFonts w:ascii="微软雅黑" w:hAnsi="微软雅黑" w:eastAsia="微软雅黑"/>
          <w:lang w:val="en-US"/>
        </w:rPr>
      </w:pPr>
    </w:p>
    <w:p>
      <w:pPr>
        <w:pStyle w:val="4"/>
        <w:spacing w:before="156"/>
      </w:pPr>
      <w:bookmarkStart w:id="22" w:name="_Toc452108761"/>
      <w:bookmarkStart w:id="23" w:name="_Toc13735910"/>
      <w:bookmarkStart w:id="24" w:name="_Toc26694"/>
      <w:r>
        <w:rPr>
          <w:rFonts w:hint="eastAsia"/>
        </w:rPr>
        <w:t>三</w:t>
      </w:r>
      <w:r>
        <w:t>维视图</w:t>
      </w:r>
      <w:bookmarkEnd w:id="22"/>
      <w:bookmarkEnd w:id="23"/>
      <w:bookmarkEnd w:id="24"/>
    </w:p>
    <w:p>
      <w:pPr>
        <w:jc w:val="center"/>
      </w:pPr>
      <w:bookmarkStart w:id="25" w:name="模型观察"/>
      <w:bookmarkStart w:id="26" w:name="三维视图"/>
      <w:r>
        <w:t>请先在【模型观察】命令中保存图片</w:t>
      </w:r>
      <w:bookmarkEnd w:id="25"/>
      <w:bookmarkEnd w:id="26"/>
    </w:p>
    <w:p/>
    <w:p>
      <w:pPr>
        <w:pStyle w:val="2"/>
        <w:spacing w:before="312"/>
      </w:pPr>
      <w:bookmarkStart w:id="27" w:name="_Toc452108762"/>
      <w:bookmarkStart w:id="28" w:name="TitleFormat"/>
      <w:bookmarkStart w:id="29" w:name="_Toc13735911"/>
      <w:bookmarkStart w:id="30" w:name="_Toc12809"/>
      <w:r>
        <w:rPr>
          <w:rFonts w:hint="eastAsia"/>
        </w:rPr>
        <w:t>计算</w:t>
      </w:r>
      <w:r>
        <w:t>依据</w:t>
      </w:r>
      <w:bookmarkEnd w:id="27"/>
      <w:bookmarkEnd w:id="28"/>
      <w:bookmarkEnd w:id="29"/>
      <w:bookmarkEnd w:id="30"/>
    </w:p>
    <w:p>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pPr>
        <w:pStyle w:val="2"/>
        <w:spacing w:before="312"/>
      </w:pPr>
      <w:bookmarkStart w:id="35" w:name="_Toc13735912"/>
      <w:bookmarkStart w:id="36" w:name="_Toc19646"/>
      <w:r>
        <w:rPr>
          <w:rFonts w:hint="eastAsia"/>
        </w:rPr>
        <w:t>参考</w:t>
      </w:r>
      <w:r>
        <w:t>标准</w:t>
      </w:r>
      <w:bookmarkEnd w:id="31"/>
      <w:bookmarkEnd w:id="35"/>
      <w:bookmarkEnd w:id="36"/>
    </w:p>
    <w:p>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pPr>
        <w:pStyle w:val="2"/>
        <w:spacing w:before="312"/>
      </w:pPr>
      <w:bookmarkStart w:id="41" w:name="_Toc13735913"/>
      <w:bookmarkStart w:id="42" w:name="_Toc27988"/>
      <w:r>
        <w:rPr>
          <w:rFonts w:hint="eastAsia"/>
        </w:rPr>
        <w:t>计算</w:t>
      </w:r>
      <w:bookmarkEnd w:id="37"/>
      <w:bookmarkEnd w:id="38"/>
      <w:r>
        <w:rPr>
          <w:rFonts w:hint="eastAsia"/>
        </w:rPr>
        <w:t>方法</w:t>
      </w:r>
      <w:bookmarkEnd w:id="41"/>
      <w:bookmarkEnd w:id="4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pPr>
        <w:pStyle w:val="4"/>
        <w:spacing w:before="156" w:line="400" w:lineRule="exact"/>
      </w:pPr>
      <w:bookmarkStart w:id="43" w:name="_Toc13735914"/>
      <w:bookmarkStart w:id="44" w:name="_Toc28515"/>
      <w:r>
        <w:t>CFD</w:t>
      </w:r>
      <w:r>
        <w:rPr>
          <w:rFonts w:hint="eastAsia"/>
        </w:rPr>
        <w:t>计算原理</w:t>
      </w:r>
      <w:bookmarkEnd w:id="43"/>
      <w:bookmarkEnd w:id="44"/>
    </w:p>
    <w:p>
      <w:pPr>
        <w:pStyle w:val="5"/>
        <w:spacing w:before="156" w:line="400" w:lineRule="exact"/>
      </w:pPr>
      <w:bookmarkStart w:id="45" w:name="_Toc13735915"/>
      <w:bookmarkStart w:id="46" w:name="_Toc452108765"/>
      <w:bookmarkStart w:id="47" w:name="_Toc451698937"/>
      <w:r>
        <w:rPr>
          <w:rFonts w:hint="eastAsia"/>
        </w:rPr>
        <w:t>湍流模型</w:t>
      </w:r>
      <w:bookmarkEnd w:id="45"/>
    </w:p>
    <w:p>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bookmarkStart w:id="48" w:name="_Toc8151"/>
            <w:bookmarkStart w:id="49" w:name="_Toc13735916"/>
            <w:bookmarkStart w:id="50" w:name="_Toc451698938"/>
            <w:bookmarkStart w:id="51" w:name="_Toc45210876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宋体"/>
                <w:b/>
                <w:bCs/>
                <w:sz w:val="18"/>
                <w:szCs w:val="18"/>
              </w:rPr>
            </w:pPr>
            <w:r>
              <w:rPr>
                <w:rFonts w:hint="eastAsia" w:cs="宋体"/>
                <w:b/>
                <w:bCs/>
                <w:sz w:val="18"/>
                <w:szCs w:val="18"/>
              </w:rPr>
              <w:t>特点和适用工况</w:t>
            </w:r>
          </w:p>
        </w:tc>
      </w:tr>
      <w:tr>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pPr>
              <w:spacing w:line="400" w:lineRule="exact"/>
              <w:rPr>
                <w:rFonts w:cs="宋体"/>
                <w:sz w:val="18"/>
                <w:szCs w:val="18"/>
              </w:rPr>
            </w:pPr>
            <w:r>
              <w:rPr>
                <w:rFonts w:hint="eastAsia" w:cs="宋体"/>
                <w:sz w:val="18"/>
                <w:szCs w:val="18"/>
              </w:rPr>
              <w:t>旋转流动、强逆压梯度的边界层流动、流动分离和二次流，类似于RNG</w:t>
            </w:r>
          </w:p>
        </w:tc>
      </w:tr>
    </w:tbl>
    <w:p>
      <w:pPr>
        <w:pStyle w:val="5"/>
        <w:tabs>
          <w:tab w:val="left" w:pos="360"/>
        </w:tabs>
        <w:spacing w:before="156"/>
        <w:ind w:left="0" w:firstLine="0"/>
      </w:pPr>
      <w:r>
        <w:rPr>
          <w:rFonts w:hint="eastAsia"/>
        </w:rPr>
        <w:t>边界条件</w:t>
      </w:r>
      <w:bookmarkEnd w:id="48"/>
      <w:bookmarkEnd w:id="49"/>
      <w:bookmarkEnd w:id="50"/>
      <w:bookmarkEnd w:id="51"/>
    </w:p>
    <w:p>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pPr>
        <w:spacing w:line="400" w:lineRule="exact"/>
        <w:ind w:firstLine="435"/>
      </w:pPr>
      <w:r>
        <w:rPr>
          <w:rFonts w:hint="eastAsia"/>
          <w:b/>
        </w:rPr>
        <w:t>送风口</w:t>
      </w:r>
      <w:r>
        <w:rPr>
          <w:rFonts w:hint="eastAsia"/>
        </w:rPr>
        <w:t>：采用温度和风速作为边界条件；</w:t>
      </w:r>
    </w:p>
    <w:p>
      <w:pPr>
        <w:spacing w:line="400" w:lineRule="exact"/>
        <w:ind w:firstLine="435"/>
      </w:pPr>
      <w:r>
        <w:rPr>
          <w:rFonts w:hint="eastAsia"/>
          <w:b/>
        </w:rPr>
        <w:t>回风口</w:t>
      </w:r>
      <w:r>
        <w:rPr>
          <w:rFonts w:hint="eastAsia"/>
        </w:rPr>
        <w:t>：采用绝热和定压边界条件；</w:t>
      </w:r>
    </w:p>
    <w:p>
      <w:pPr>
        <w:pStyle w:val="5"/>
        <w:tabs>
          <w:tab w:val="left" w:pos="360"/>
        </w:tabs>
        <w:spacing w:before="156" w:line="400" w:lineRule="exact"/>
        <w:ind w:left="0" w:firstLine="0"/>
      </w:pPr>
      <w:bookmarkStart w:id="52" w:name="_Toc451698939"/>
      <w:bookmarkStart w:id="53" w:name="_Toc13735917"/>
      <w:bookmarkStart w:id="54" w:name="_Toc452108767"/>
      <w:bookmarkStart w:id="55" w:name="_Toc23583"/>
      <w:r>
        <w:rPr>
          <w:rFonts w:hint="eastAsia"/>
        </w:rPr>
        <w:t>求解计算</w:t>
      </w:r>
      <w:bookmarkEnd w:id="52"/>
      <w:bookmarkEnd w:id="53"/>
      <w:bookmarkEnd w:id="54"/>
      <w:bookmarkEnd w:id="55"/>
    </w:p>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rFonts w:hint="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=tanℎ</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pPr>
              <w:pStyle w:val="3"/>
              <w:spacing w:line="240" w:lineRule="atLeast"/>
              <w:ind w:firstLine="0" w:firstLineChars="0"/>
              <w:rPr>
                <w:rFonts w:ascii="微软雅黑" w:hAnsi="微软雅黑" w:eastAsia="微软雅黑"/>
                <w:sz w:val="20"/>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pPr>
        <w:pStyle w:val="4"/>
        <w:tabs>
          <w:tab w:val="left" w:pos="0"/>
          <w:tab w:val="clear" w:pos="578"/>
        </w:tabs>
        <w:spacing w:before="156" w:line="400" w:lineRule="exact"/>
        <w:ind w:left="0" w:firstLine="0"/>
      </w:pPr>
      <w:bookmarkStart w:id="58" w:name="_Toc13735918"/>
      <w:bookmarkStart w:id="59" w:name="_Toc23537"/>
      <w:r>
        <w:rPr>
          <w:rFonts w:hint="eastAsia"/>
        </w:rPr>
        <w:t>热湿环境评价</w:t>
      </w:r>
      <w:r>
        <w:t>指标</w:t>
      </w:r>
      <w:r>
        <w:rPr>
          <w:rFonts w:hint="eastAsia"/>
        </w:rPr>
        <w:t>计算</w:t>
      </w:r>
      <w:bookmarkEnd w:id="58"/>
      <w:bookmarkEnd w:id="59"/>
    </w:p>
    <w:p>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pPr>
        <w:pStyle w:val="5"/>
        <w:tabs>
          <w:tab w:val="left" w:pos="360"/>
        </w:tabs>
        <w:spacing w:before="156" w:line="400" w:lineRule="exact"/>
        <w:ind w:left="0" w:firstLine="0"/>
      </w:pPr>
      <w:r>
        <w:t>PMV</w:t>
      </w:r>
      <w:r>
        <w:rPr>
          <w:rFonts w:hint="eastAsia"/>
        </w:rPr>
        <w:t>计算公式</w:t>
      </w:r>
    </w:p>
    <w:bookmarkEnd w:id="60"/>
    <w:p>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5"/>
        <w:tabs>
          <w:tab w:val="left" w:pos="360"/>
        </w:tabs>
        <w:spacing w:before="156"/>
        <w:ind w:left="0" w:firstLine="0"/>
      </w:pPr>
      <w:r>
        <w:t>PPD</w:t>
      </w:r>
      <w:r>
        <w:rPr>
          <w:rFonts w:hint="eastAsia"/>
        </w:rPr>
        <w:t>计算公式</w:t>
      </w:r>
      <w:bookmarkEnd w:id="61"/>
    </w:p>
    <w:p>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pPr>
        <w:pStyle w:val="5"/>
        <w:tabs>
          <w:tab w:val="left" w:pos="360"/>
        </w:tabs>
        <w:spacing w:before="156"/>
        <w:ind w:left="0" w:firstLine="0"/>
      </w:pPr>
      <w:bookmarkStart w:id="62" w:name="_Toc13735920"/>
      <w:r>
        <w:rPr>
          <w:rFonts w:hint="eastAsia"/>
        </w:rPr>
        <w:t>PMV和PPD达标比例计算</w:t>
      </w:r>
      <w:bookmarkEnd w:id="62"/>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spacing w:before="312"/>
      </w:pPr>
      <w:bookmarkStart w:id="63" w:name="_Toc3745"/>
      <w:bookmarkStart w:id="64" w:name="_Toc452108768"/>
      <w:bookmarkStart w:id="65" w:name="_Toc13735921"/>
      <w:bookmarkStart w:id="66" w:name="_Toc9095"/>
      <w:r>
        <w:rPr>
          <w:rFonts w:hint="eastAsia"/>
        </w:rPr>
        <w:t>结果</w:t>
      </w:r>
      <w:r>
        <w:t>分析</w:t>
      </w:r>
      <w:bookmarkEnd w:id="63"/>
      <w:bookmarkEnd w:id="64"/>
      <w:bookmarkEnd w:id="65"/>
      <w:bookmarkEnd w:id="66"/>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0.8</w:t>
            </w:r>
          </w:p>
        </w:tc>
        <w:tc>
          <w:tcPr>
            <w:tcW w:w="1058" w:type="dxa"/>
          </w:tcPr>
          <w:p>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pPr>
        <w:pStyle w:val="3"/>
        <w:ind w:firstLine="0" w:firstLineChars="0"/>
        <w:rPr>
          <w:rFonts w:ascii="微软雅黑" w:hAnsi="微软雅黑" w:eastAsia="微软雅黑"/>
        </w:rPr>
      </w:pPr>
    </w:p>
    <w:p>
      <w:pPr>
        <w:pStyle w:val="4"/>
      </w:pPr>
      <w:bookmarkStart w:id="68" w:name="分析对象名称"/>
      <w:bookmarkStart w:id="69" w:name="_Toc13493"/>
      <w:r>
        <w:t>3层分析图</w:t>
      </w:r>
      <w:bookmarkEnd w:id="68"/>
      <w:bookmarkEnd w:id="69"/>
    </w:p>
    <w:p>
      <w:pPr>
        <w:jc w:val="center"/>
      </w:pPr>
      <w:bookmarkStart w:id="70" w:name="温度场分布"/>
      <w:bookmarkEnd w:id="70"/>
      <w: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bookmarkStart w:id="71" w:name="速度云图"/>
      <w:bookmarkEnd w:id="71"/>
      <w:r>
        <w:drawing>
          <wp:inline distT="0" distB="0" distL="0" distR="0">
            <wp:extent cx="5667375" cy="3524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bookmarkStart w:id="72" w:name="流线图"/>
      <w:bookmarkEnd w:id="72"/>
      <w:r>
        <w:drawing>
          <wp:inline distT="0" distB="0" distL="0" distR="0">
            <wp:extent cx="5667375" cy="3524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pPr>
        <w:jc w:val="center"/>
      </w:pPr>
      <w:bookmarkStart w:id="74" w:name="PMV分布"/>
      <w:bookmarkEnd w:id="74"/>
      <w:r>
        <w:drawing>
          <wp:inline distT="0" distB="0" distL="0" distR="0">
            <wp:extent cx="5667375" cy="3524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pPr>
        <w:jc w:val="center"/>
      </w:pPr>
      <w:bookmarkStart w:id="75" w:name="PPD分布"/>
      <w:bookmarkEnd w:id="75"/>
      <w: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pPr>
        <w:jc w:val="center"/>
      </w:pPr>
      <w:bookmarkStart w:id="76" w:name="LPD1分布"/>
      <w:bookmarkEnd w:id="76"/>
    </w:p>
    <w:p>
      <w:pPr>
        <w:jc w:val="center"/>
      </w:pPr>
    </w:p>
    <w:p>
      <w:pPr>
        <w:pStyle w:val="3"/>
        <w:ind w:firstLine="0" w:firstLineChars="0"/>
        <w:rPr>
          <w:rFonts w:ascii="微软雅黑" w:hAnsi="微软雅黑" w:eastAsia="微软雅黑"/>
          <w:sz w:val="18"/>
          <w:szCs w:val="18"/>
          <w:lang w:val="en-US"/>
        </w:rPr>
      </w:pPr>
      <w:bookmarkStart w:id="77" w:name="结果分析"/>
      <w:bookmarkEnd w:id="77"/>
    </w:p>
    <w:p>
      <w:pPr>
        <w:pStyle w:val="4"/>
        <w:spacing w:before="156" w:line="400" w:lineRule="exact"/>
      </w:pPr>
      <w:bookmarkStart w:id="78" w:name="_Toc13735924"/>
      <w:bookmarkStart w:id="79" w:name="_Toc23117"/>
      <w:r>
        <w:rPr>
          <w:rFonts w:hint="eastAsia"/>
        </w:rPr>
        <w:t>室内PMV与PPD达标比例统计</w:t>
      </w:r>
      <w:bookmarkEnd w:id="78"/>
      <w:bookmarkEnd w:id="79"/>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－0.5≤PMV≤＋0.5</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－1≤PMV＜－0.5或＋0.5＜PMV≤＋1</w:t>
            </w:r>
          </w:p>
        </w:tc>
      </w:tr>
      <w:tr>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pPr>
              <w:spacing w:line="400" w:lineRule="exact"/>
              <w:jc w:val="center"/>
              <w:rPr>
                <w:rFonts w:cs="Tahoma"/>
                <w:color w:val="000000"/>
                <w:sz w:val="18"/>
                <w:szCs w:val="18"/>
                <w:lang w:val="en-US"/>
              </w:rPr>
            </w:pPr>
            <w:r>
              <w:rPr>
                <w:rFonts w:cs="Tahoma"/>
                <w:color w:val="000000"/>
                <w:sz w:val="18"/>
                <w:szCs w:val="18"/>
                <w:lang w:val="en-US"/>
              </w:rPr>
              <w:t>PMV＜－1或PMV＞＋1</w:t>
            </w:r>
          </w:p>
        </w:tc>
      </w:tr>
    </w:tbl>
    <w:p>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户型</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PMV-PPD达标面积 (㎡)</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PMV-PPD达标面积比例(%)</w:t>
            </w:r>
          </w:p>
        </w:tc>
        <w:tc>
          <w:tcPr>
            <w:shd w:val="clear" w:color="auto" w:fill="E6E6E6"/>
            <w:vAlign w:val="center"/>
          </w:tcPr>
          <w:p>
            <w:pPr>
              <w:jc w:val="center"/>
              <w:rPr>
                <w:sz w:val="18"/>
                <w:szCs w:val="18"/>
              </w:rPr>
            </w:pPr>
            <w:r>
              <w:rPr>
                <w:sz w:val="18"/>
                <w:szCs w:val="18"/>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3层</w:t>
            </w:r>
          </w:p>
        </w:tc>
        <w:tc>
          <w:tcPr>
            <w:gridSpan w:val="2"/>
          </w:tcPr>
          <w:p>
            <w:pPr>
              <w:rPr>
                <w:sz w:val="18"/>
                <w:szCs w:val="18"/>
              </w:rPr>
            </w:pPr>
            <w:r>
              <w:rPr>
                <w:sz w:val="18"/>
                <w:szCs w:val="18"/>
              </w:rPr>
              <w:t>3002</w:t>
            </w:r>
          </w:p>
        </w:tc>
        <w:tc>
          <w:tcPr>
            <w:vAlign w:val="center"/>
          </w:tcPr>
          <w:p>
            <w:pPr>
              <w:rPr>
                <w:sz w:val="18"/>
                <w:szCs w:val="18"/>
              </w:rPr>
            </w:pPr>
            <w:r>
              <w:rPr>
                <w:sz w:val="18"/>
                <w:szCs w:val="18"/>
              </w:rPr>
              <w:t>展览馆</w:t>
            </w:r>
          </w:p>
        </w:tc>
        <w:tc>
          <w:tcPr>
            <w:vAlign w:val="center"/>
          </w:tcPr>
          <w:p>
            <w:pPr>
              <w:rPr>
                <w:sz w:val="18"/>
                <w:szCs w:val="18"/>
              </w:rPr>
            </w:pPr>
            <w:r>
              <w:rPr>
                <w:sz w:val="18"/>
                <w:szCs w:val="18"/>
              </w:rPr>
              <w:t>217.1</w:t>
            </w:r>
          </w:p>
        </w:tc>
        <w:tc>
          <w:tcPr>
            <w:vAlign w:val="center"/>
          </w:tcPr>
          <w:p>
            <w:pPr>
              <w:rPr>
                <w:sz w:val="18"/>
                <w:szCs w:val="18"/>
              </w:rPr>
            </w:pPr>
            <w:r>
              <w:rPr>
                <w:sz w:val="18"/>
                <w:szCs w:val="18"/>
              </w:rPr>
              <w:t>217.9</w:t>
            </w:r>
          </w:p>
        </w:tc>
        <w:tc>
          <w:tcPr>
            <w:vAlign w:val="center"/>
          </w:tcPr>
          <w:p>
            <w:pPr>
              <w:rPr>
                <w:sz w:val="18"/>
                <w:szCs w:val="18"/>
              </w:rPr>
            </w:pPr>
            <w:r>
              <w:rPr>
                <w:sz w:val="18"/>
                <w:szCs w:val="18"/>
              </w:rPr>
              <w:t>99.60</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3014</w:t>
            </w:r>
          </w:p>
        </w:tc>
        <w:tc>
          <w:tcPr>
            <w:vAlign w:val="center"/>
          </w:tcPr>
          <w:p>
            <w:pPr>
              <w:rPr>
                <w:sz w:val="18"/>
                <w:szCs w:val="18"/>
              </w:rPr>
            </w:pPr>
            <w:r>
              <w:rPr>
                <w:sz w:val="18"/>
                <w:szCs w:val="18"/>
              </w:rPr>
              <w:t>走廊</w:t>
            </w:r>
          </w:p>
        </w:tc>
        <w:tc>
          <w:tcPr>
            <w:vAlign w:val="center"/>
          </w:tcPr>
          <w:p>
            <w:pPr>
              <w:rPr>
                <w:sz w:val="18"/>
                <w:szCs w:val="18"/>
              </w:rPr>
            </w:pPr>
            <w:r>
              <w:rPr>
                <w:sz w:val="18"/>
                <w:szCs w:val="18"/>
              </w:rPr>
              <w:t>97.1</w:t>
            </w:r>
          </w:p>
        </w:tc>
        <w:tc>
          <w:tcPr>
            <w:vAlign w:val="center"/>
          </w:tcPr>
          <w:p>
            <w:pPr>
              <w:rPr>
                <w:sz w:val="18"/>
                <w:szCs w:val="18"/>
              </w:rPr>
            </w:pPr>
            <w:r>
              <w:rPr>
                <w:sz w:val="18"/>
                <w:szCs w:val="18"/>
              </w:rPr>
              <w:t>100.5</w:t>
            </w:r>
          </w:p>
        </w:tc>
        <w:tc>
          <w:tcPr>
            <w:vAlign w:val="center"/>
          </w:tcPr>
          <w:p>
            <w:pPr>
              <w:rPr>
                <w:sz w:val="18"/>
                <w:szCs w:val="18"/>
              </w:rPr>
            </w:pPr>
            <w:r>
              <w:rPr>
                <w:sz w:val="18"/>
                <w:szCs w:val="18"/>
              </w:rPr>
              <w:t>96.64</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3027</w:t>
            </w:r>
          </w:p>
        </w:tc>
        <w:tc>
          <w:tcPr>
            <w:vAlign w:val="center"/>
          </w:tcPr>
          <w:p>
            <w:pPr>
              <w:rPr>
                <w:sz w:val="18"/>
                <w:szCs w:val="18"/>
              </w:rPr>
            </w:pPr>
            <w:r>
              <w:rPr>
                <w:sz w:val="18"/>
                <w:szCs w:val="18"/>
              </w:rPr>
              <w:t>档案室</w:t>
            </w:r>
          </w:p>
        </w:tc>
        <w:tc>
          <w:tcPr>
            <w:vAlign w:val="center"/>
          </w:tcPr>
          <w:p>
            <w:pPr>
              <w:rPr>
                <w:sz w:val="18"/>
                <w:szCs w:val="18"/>
              </w:rPr>
            </w:pPr>
            <w:r>
              <w:rPr>
                <w:sz w:val="18"/>
                <w:szCs w:val="18"/>
              </w:rPr>
              <w:t>33.1</w:t>
            </w:r>
          </w:p>
        </w:tc>
        <w:tc>
          <w:tcPr>
            <w:vAlign w:val="center"/>
          </w:tcPr>
          <w:p>
            <w:pPr>
              <w:rPr>
                <w:sz w:val="18"/>
                <w:szCs w:val="18"/>
              </w:rPr>
            </w:pPr>
            <w:r>
              <w:rPr>
                <w:sz w:val="18"/>
                <w:szCs w:val="18"/>
              </w:rPr>
              <w:t>33.9</w:t>
            </w:r>
          </w:p>
        </w:tc>
        <w:tc>
          <w:tcPr>
            <w:vAlign w:val="center"/>
          </w:tcPr>
          <w:p>
            <w:pPr>
              <w:rPr>
                <w:sz w:val="18"/>
                <w:szCs w:val="18"/>
              </w:rPr>
            </w:pPr>
            <w:r>
              <w:rPr>
                <w:sz w:val="18"/>
                <w:szCs w:val="18"/>
              </w:rPr>
              <w:t>97.78</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3039</w:t>
            </w:r>
          </w:p>
        </w:tc>
        <w:tc>
          <w:tcPr>
            <w:vAlign w:val="center"/>
          </w:tcPr>
          <w:p>
            <w:pPr>
              <w:rPr>
                <w:sz w:val="18"/>
                <w:szCs w:val="18"/>
              </w:rPr>
            </w:pPr>
            <w:r>
              <w:rPr>
                <w:sz w:val="18"/>
                <w:szCs w:val="18"/>
              </w:rPr>
              <w:t>卫生间</w:t>
            </w:r>
          </w:p>
        </w:tc>
        <w:tc>
          <w:tcPr>
            <w:vAlign w:val="center"/>
          </w:tcPr>
          <w:p>
            <w:pPr>
              <w:rPr>
                <w:sz w:val="18"/>
                <w:szCs w:val="18"/>
              </w:rPr>
            </w:pPr>
            <w:r>
              <w:rPr>
                <w:sz w:val="18"/>
                <w:szCs w:val="18"/>
              </w:rPr>
              <w:t>10.3</w:t>
            </w:r>
          </w:p>
        </w:tc>
        <w:tc>
          <w:tcPr>
            <w:vAlign w:val="center"/>
          </w:tcPr>
          <w:p>
            <w:pPr>
              <w:rPr>
                <w:sz w:val="18"/>
                <w:szCs w:val="18"/>
              </w:rPr>
            </w:pPr>
            <w:r>
              <w:rPr>
                <w:sz w:val="18"/>
                <w:szCs w:val="18"/>
              </w:rPr>
              <w:t>10.5</w:t>
            </w:r>
          </w:p>
        </w:tc>
        <w:tc>
          <w:tcPr>
            <w:vAlign w:val="center"/>
          </w:tcPr>
          <w:p>
            <w:pPr>
              <w:rPr>
                <w:sz w:val="18"/>
                <w:szCs w:val="18"/>
              </w:rPr>
            </w:pPr>
            <w:r>
              <w:rPr>
                <w:sz w:val="18"/>
                <w:szCs w:val="18"/>
              </w:rPr>
              <w:t>98.62</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3042</w:t>
            </w:r>
          </w:p>
        </w:tc>
        <w:tc>
          <w:tcPr>
            <w:vAlign w:val="center"/>
          </w:tcPr>
          <w:p>
            <w:pPr>
              <w:rPr>
                <w:sz w:val="18"/>
                <w:szCs w:val="18"/>
              </w:rPr>
            </w:pPr>
            <w:r>
              <w:rPr>
                <w:sz w:val="18"/>
                <w:szCs w:val="18"/>
              </w:rPr>
              <w:t>卫生间</w:t>
            </w:r>
          </w:p>
        </w:tc>
        <w:tc>
          <w:tcPr>
            <w:vAlign w:val="center"/>
          </w:tcPr>
          <w:p>
            <w:pPr>
              <w:rPr>
                <w:sz w:val="18"/>
                <w:szCs w:val="18"/>
              </w:rPr>
            </w:pPr>
            <w:r>
              <w:rPr>
                <w:sz w:val="18"/>
                <w:szCs w:val="18"/>
              </w:rPr>
              <w:t>9.5</w:t>
            </w:r>
          </w:p>
        </w:tc>
        <w:tc>
          <w:tcPr>
            <w:vAlign w:val="center"/>
          </w:tcPr>
          <w:p>
            <w:pPr>
              <w:rPr>
                <w:sz w:val="18"/>
                <w:szCs w:val="18"/>
              </w:rPr>
            </w:pPr>
            <w:r>
              <w:rPr>
                <w:sz w:val="18"/>
                <w:szCs w:val="18"/>
              </w:rPr>
              <w:t>10.5</w:t>
            </w:r>
          </w:p>
        </w:tc>
        <w:tc>
          <w:tcPr>
            <w:vAlign w:val="center"/>
          </w:tcPr>
          <w:p>
            <w:pPr>
              <w:rPr>
                <w:sz w:val="18"/>
                <w:szCs w:val="18"/>
              </w:rPr>
            </w:pPr>
            <w:r>
              <w:rPr>
                <w:sz w:val="18"/>
                <w:szCs w:val="18"/>
              </w:rPr>
              <w:t>90.78</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gridSpan w:val="2"/>
          </w:tcPr>
          <w:p>
            <w:pPr>
              <w:rPr>
                <w:sz w:val="18"/>
                <w:szCs w:val="18"/>
              </w:rPr>
            </w:pPr>
            <w:r>
              <w:rPr>
                <w:sz w:val="18"/>
                <w:szCs w:val="18"/>
              </w:rPr>
              <w:t>3047</w:t>
            </w:r>
          </w:p>
        </w:tc>
        <w:tc>
          <w:tcPr>
            <w:vAlign w:val="center"/>
          </w:tcPr>
          <w:p>
            <w:pPr>
              <w:rPr>
                <w:sz w:val="18"/>
                <w:szCs w:val="18"/>
              </w:rPr>
            </w:pPr>
            <w:r>
              <w:rPr>
                <w:sz w:val="18"/>
                <w:szCs w:val="18"/>
              </w:rPr>
              <w:t>空房间</w:t>
            </w:r>
          </w:p>
        </w:tc>
        <w:tc>
          <w:tcPr>
            <w:vAlign w:val="center"/>
          </w:tcPr>
          <w:p>
            <w:pPr>
              <w:rPr>
                <w:sz w:val="18"/>
                <w:szCs w:val="18"/>
              </w:rPr>
            </w:pPr>
            <w:r>
              <w:rPr>
                <w:sz w:val="18"/>
                <w:szCs w:val="18"/>
              </w:rPr>
              <w:t>1.9</w:t>
            </w:r>
          </w:p>
        </w:tc>
        <w:tc>
          <w:tcPr>
            <w:vAlign w:val="center"/>
          </w:tcPr>
          <w:p>
            <w:pPr>
              <w:rPr>
                <w:sz w:val="18"/>
                <w:szCs w:val="18"/>
              </w:rPr>
            </w:pPr>
            <w:r>
              <w:rPr>
                <w:sz w:val="18"/>
                <w:szCs w:val="18"/>
              </w:rPr>
              <w:t>2.0</w:t>
            </w:r>
          </w:p>
        </w:tc>
        <w:tc>
          <w:tcPr>
            <w:vAlign w:val="center"/>
          </w:tcPr>
          <w:p>
            <w:pPr>
              <w:rPr>
                <w:sz w:val="18"/>
                <w:szCs w:val="18"/>
              </w:rPr>
            </w:pPr>
            <w:r>
              <w:rPr>
                <w:sz w:val="18"/>
                <w:szCs w:val="18"/>
              </w:rPr>
              <w:t>98.13</w:t>
            </w:r>
          </w:p>
        </w:tc>
        <w:tc>
          <w:tcPr>
            <w:vAlign w:val="center"/>
          </w:tcPr>
          <w:p>
            <w:pPr>
              <w:rPr>
                <w:sz w:val="18"/>
                <w:szCs w:val="18"/>
              </w:rPr>
            </w:pPr>
            <w:r>
              <w:rPr>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建筑PMV-PPD达标面积比例（%）</w:t>
            </w:r>
          </w:p>
        </w:tc>
        <w:tc>
          <w:tcPr>
            <w:gridSpan w:val="4"/>
            <w:vAlign w:val="center"/>
          </w:tcPr>
          <w:p>
            <w:pPr>
              <w:rPr>
                <w:sz w:val="18"/>
                <w:szCs w:val="18"/>
              </w:rPr>
            </w:pPr>
            <w:r>
              <w:rPr>
                <w:sz w:val="18"/>
                <w:szCs w:val="18"/>
              </w:rPr>
              <w:t>98.36%</w:t>
            </w:r>
          </w:p>
        </w:tc>
      </w:tr>
    </w:tbl>
    <w:p>
      <w:pPr>
        <w:spacing w:after="120"/>
        <w:jc w:val="center"/>
        <w:rPr>
          <w:rFonts w:cs="宋体"/>
          <w:b/>
          <w:bCs/>
          <w:color w:val="333333"/>
          <w:sz w:val="18"/>
          <w:szCs w:val="18"/>
          <w:lang w:val="en-US"/>
        </w:rPr>
      </w:pPr>
      <w:bookmarkStart w:id="81" w:name="达标统计表"/>
      <w:bookmarkEnd w:id="81"/>
    </w:p>
    <w:p>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pPr>
        <w:pStyle w:val="2"/>
        <w:spacing w:before="312"/>
      </w:pPr>
      <w:bookmarkStart w:id="83" w:name="_Toc27472"/>
      <w:r>
        <w:rPr>
          <w:rFonts w:hint="eastAsia"/>
        </w:rPr>
        <w:t>结论</w:t>
      </w:r>
      <w:bookmarkEnd w:id="82"/>
      <w:bookmarkEnd w:id="83"/>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98.36%</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pPr>
        <w:pStyle w:val="2"/>
        <w:spacing w:before="312"/>
      </w:pPr>
      <w:bookmarkStart w:id="86" w:name="_Toc19283"/>
      <w:bookmarkStart w:id="87" w:name="附录"/>
      <w:r>
        <w:rPr>
          <w:rFonts w:hint="eastAsia"/>
        </w:rPr>
        <w:t>附录：</w:t>
      </w:r>
      <w:r>
        <w:t>房间分析</w:t>
      </w:r>
      <w:r>
        <w:rPr>
          <w:rFonts w:hint="eastAsia"/>
        </w:rPr>
        <w:t>图</w:t>
      </w:r>
      <w:bookmarkEnd w:id="86"/>
    </w:p>
    <w:p>
      <w:pPr>
        <w:pStyle w:val="4"/>
      </w:pPr>
      <w:bookmarkStart w:id="88" w:name="_Toc26833"/>
      <w:r>
        <w:t>3027[藏品库]</w:t>
      </w:r>
      <w:bookmarkEnd w:id="88"/>
    </w:p>
    <w:p>
      <w:pPr>
        <w:jc w:val="center"/>
      </w:pPr>
      <w: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89" w:name="_Toc13237"/>
      <w:r>
        <w:t>3002[文化展厅]</w:t>
      </w:r>
      <w:bookmarkEnd w:id="89"/>
    </w:p>
    <w:p>
      <w:pPr>
        <w:jc w:val="center"/>
      </w:pPr>
      <w: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0" w:name="_Toc5409"/>
      <w:r>
        <w:t>3047[空房间]</w:t>
      </w:r>
      <w:bookmarkEnd w:id="90"/>
    </w:p>
    <w:p>
      <w:pPr>
        <w:jc w:val="center"/>
      </w:pPr>
      <w: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1" w:name="_Toc26117"/>
      <w:r>
        <w:t>3042[普通办公室]</w:t>
      </w:r>
      <w:bookmarkEnd w:id="91"/>
    </w:p>
    <w:p>
      <w:pPr>
        <w:jc w:val="center"/>
      </w:pPr>
      <w: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2" w:name="_Toc8594"/>
      <w:r>
        <w:t>3039[卫生间]</w:t>
      </w:r>
      <w:bookmarkEnd w:id="92"/>
    </w:p>
    <w:p>
      <w:pPr>
        <w:jc w:val="center"/>
      </w:pPr>
      <w: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pPr>
        <w:jc w:val="center"/>
      </w:pPr>
      <w: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p>
      <w:pPr>
        <w:jc w:val="cente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pPr>
        <w:jc w:val="center"/>
      </w:pPr>
      <w: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pPr>
        <w:jc w:val="center"/>
      </w:pPr>
    </w:p>
    <w:p>
      <w:pPr>
        <w:jc w:val="center"/>
      </w:pPr>
    </w:p>
    <w:p>
      <w:pPr>
        <w:pStyle w:val="4"/>
      </w:pPr>
      <w:bookmarkStart w:id="93" w:name="_Toc31535"/>
      <w:r>
        <w:t>3014[走廊]</w:t>
      </w:r>
      <w:bookmarkEnd w:id="0"/>
      <w:bookmarkEnd w:id="93"/>
    </w:p>
    <w:bookmarkEnd w:id="5"/>
    <w:p>
      <w:pPr>
        <w:jc w:val="center"/>
      </w:pPr>
      <w: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pPr>
        <w:jc w:val="center"/>
      </w:pPr>
      <w: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pPr>
        <w:jc w:val="center"/>
      </w:pPr>
    </w:p>
    <w:bookmarkEnd w:id="9"/>
    <w:p>
      <w:pPr>
        <w:jc w:val="center"/>
      </w:pPr>
      <w: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pPr>
        <w:jc w:val="center"/>
      </w:pPr>
      <w: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524250"/>
                    </a:xfrm>
                    <a:prstGeom prst="rect">
                      <a:avLst/>
                    </a:prstGeom>
                  </pic:spPr>
                </pic:pic>
              </a:graphicData>
            </a:graphic>
          </wp:inline>
        </w:drawing>
      </w:r>
    </w:p>
    <w:p>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pPr>
        <w:jc w:val="center"/>
      </w:pPr>
    </w:p>
    <w:p>
      <w:pPr>
        <w:jc w:val="center"/>
      </w:pPr>
    </w:p>
    <w:p>
      <w:pPr>
        <w:jc w:val="center"/>
      </w:pPr>
      <w:bookmarkStart w:id="94" w:name="房间结果分析"/>
      <w:bookmarkEnd w:id="94"/>
    </w:p>
    <w:bookmarkEnd w:id="87"/>
    <w:p>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7"/>
            <w:rPr>
              <w:sz w:val="20"/>
              <w:szCs w:val="21"/>
            </w:rPr>
          </w:pPr>
        </w:p>
      </w:tc>
      <w:tc>
        <w:tcPr>
          <w:tcW w:w="2841" w:type="dxa"/>
          <w:shd w:val="clear" w:color="auto" w:fill="auto"/>
        </w:tcPr>
        <w:p>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pPr>
            <w:pStyle w:val="17"/>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OGJlZTE2YzZiN2JjZWIwNjhhOGU1Y2E3Yjg2NTcifQ=="/>
  </w:docVars>
  <w:rsids>
    <w:rsidRoot w:val="06561333"/>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6561333"/>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qFormat/>
    <w:uiPriority w:val="0"/>
    <w:pPr>
      <w:snapToGrid w:val="0"/>
    </w:pPr>
    <w:rPr>
      <w:sz w:val="18"/>
      <w:szCs w:val="18"/>
    </w:rPr>
  </w:style>
  <w:style w:type="paragraph" w:styleId="21">
    <w:name w:val="toc 2"/>
    <w:basedOn w:val="1"/>
    <w:next w:val="1"/>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uiPriority w:val="0"/>
    <w:rPr>
      <w:sz w:val="18"/>
      <w:szCs w:val="18"/>
      <w:lang w:val="en-GB"/>
    </w:rPr>
  </w:style>
  <w:style w:type="character" w:styleId="38">
    <w:name w:val="Placeholder Text"/>
    <w:semiHidden/>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5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tmp4.dotx</Template>
  <Pages>27</Pages>
  <Words>3539</Words>
  <Characters>4468</Characters>
  <Lines>37</Lines>
  <Paragraphs>10</Paragraphs>
  <TotalTime>0</TotalTime>
  <ScaleCrop>false</ScaleCrop>
  <LinksUpToDate>false</LinksUpToDate>
  <CharactersWithSpaces>4650</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2026-01-01T08:17:00Z</dcterms:created>
  <dc:creator>张灏文</dc:creator>
  <cp:lastModifiedBy>张灏文</cp:lastModifiedBy>
  <dcterms:modified xsi:type="dcterms:W3CDTF">2026-01-01T08:18:31Z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5574B5073E624EEAA7A25F0F954CA234_11</vt:lpwstr>
  </property>
</Properties>
</file>