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165" w:name="_GoBack"/>
      <w:bookmarkEnd w:id="165"/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服务中心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/>
          <w:szCs w:val="18"/>
        </w:rPr>
      </w:pPr>
    </w:p>
    <w:p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江西-南昌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南昌大学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9"/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T15879950630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_Toc18100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_Toc14145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_Toc14145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_Toc3410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_Toc3410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_Toc9638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_Toc9638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_Toc6151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_Toc6151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_Toc11769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_Toc11769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_Toc1873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_Toc17007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_Toc17007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_Toc12695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_Toc12695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_Toc24776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_Toc24776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_Toc24173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_Toc22505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_Toc22505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_Toc4655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_Toc18330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_Toc18330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_Toc12623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_Toc29246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_Toc29246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_Toc8569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_Toc8569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_Toc14626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_Toc14626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_Toc20432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_Toc20432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_Toc18875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_Toc18875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_Toc23882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_Toc23882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_Toc11545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_Toc11545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_Toc13030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_Toc13030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_Toc17350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_Toc17350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_Toc25723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_Toc25723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_Toc6604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_Toc6604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_Toc16188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_Toc16188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_Toc7091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_Toc7091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_Toc2341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_Toc2341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_Toc15547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_Toc15547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_Toc24803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_Toc24803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_Toc24480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_Toc24480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_Toc27132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_Toc7838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_Toc7838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_Toc3909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_Toc3909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_Toc13469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_Toc13791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_Toc13791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_Toc6311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_Toc6311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_Toc19802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_Toc9745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_Toc9745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_Toc19885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_Toc19885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_Toc16135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_Toc16135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_Toc31262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_Toc1113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_Toc14425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_Toc14425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_Toc21683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_Toc21683 \h 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_Toc1346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_Toc5809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_Toc5809 \h 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3" w:name="_Toc18100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服务中心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江西-南昌</w:t>
            </w:r>
            <w:bookmarkEnd w:id="1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3383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16208.44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6553.31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113.7</w:t>
            </w:r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0.49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供冷期:6.15-9.15,供暖期:12.15-3.15</w:t>
            </w:r>
            <w:bookmarkEnd w:id="30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14145"/>
      <w:r>
        <w:rPr>
          <w:rFonts w:hint="eastAsia"/>
        </w:rPr>
        <w:t>计算依据</w:t>
      </w:r>
      <w:bookmarkEnd w:id="32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4" w:name="_Toc31856"/>
      <w:bookmarkStart w:id="35" w:name="_Toc25351"/>
      <w:bookmarkStart w:id="36" w:name="_Toc3410"/>
      <w:r>
        <w:rPr>
          <w:rFonts w:hint="eastAsia"/>
        </w:rPr>
        <w:t>计算要求</w:t>
      </w:r>
      <w:bookmarkEnd w:id="34"/>
      <w:bookmarkEnd w:id="35"/>
      <w:bookmarkEnd w:id="36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9638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6638"/>
      <w:bookmarkStart w:id="41" w:name="_Toc30695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2" w:name="_Toc6151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>
      <w:pPr>
        <w:pStyle w:val="3"/>
        <w:ind w:firstLine="420" w:firstLineChars="0"/>
        <w:jc w:val="left"/>
        <w:rPr>
          <w:lang w:val="en-US"/>
        </w:rPr>
      </w:pPr>
      <w:bookmarkStart w:id="43" w:name="_Toc59787735"/>
      <w:bookmarkStart w:id="44" w:name="_Toc59800596"/>
      <w:bookmarkStart w:id="45" w:name="_Toc58336110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>
      <w:pPr>
        <w:pStyle w:val="2"/>
      </w:pPr>
      <w:bookmarkStart w:id="46" w:name="_Toc11769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8" w:name="_Toc1873"/>
      <w:r>
        <w:rPr>
          <w:rFonts w:hint="eastAsia"/>
        </w:rPr>
        <w:t>气象数据</w:t>
      </w:r>
      <w:bookmarkEnd w:id="48"/>
    </w:p>
    <w:p>
      <w:pPr>
        <w:pStyle w:val="4"/>
      </w:pPr>
      <w:bookmarkStart w:id="49" w:name="_Toc17007"/>
      <w:r>
        <w:rPr>
          <w:rFonts w:hint="eastAsia"/>
        </w:rPr>
        <w:t>气象地点</w:t>
      </w:r>
      <w:bookmarkEnd w:id="49"/>
    </w:p>
    <w:p>
      <w:pPr>
        <w:pStyle w:val="3"/>
        <w:ind w:firstLine="420"/>
        <w:rPr>
          <w:lang w:val="en-US"/>
        </w:rPr>
      </w:pPr>
      <w:bookmarkStart w:id="50" w:name="气象数据来源"/>
      <w:r>
        <w:t>江西-南昌, 《建筑节能气象参数标准》JGJ346-2014</w:t>
      </w:r>
      <w:bookmarkEnd w:id="50"/>
    </w:p>
    <w:p>
      <w:pPr>
        <w:pStyle w:val="4"/>
      </w:pPr>
      <w:bookmarkStart w:id="51" w:name="_Toc12695"/>
      <w:r>
        <w:rPr>
          <w:rFonts w:hint="eastAsia"/>
        </w:rPr>
        <w:t>逐日干球温度表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886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3" w:name="_Toc24776"/>
      <w:r>
        <w:rPr>
          <w:rFonts w:hint="eastAsia"/>
        </w:rPr>
        <w:t>逐月辐照量表</w:t>
      </w:r>
      <w:bookmarkEnd w:id="53"/>
    </w:p>
    <w:p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6193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5" w:name="_Toc678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08月01日15时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01月14日08时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2.7</w:t>
            </w:r>
          </w:p>
        </w:tc>
        <w:tc>
          <w:tcPr>
            <w:vAlign w:val="center"/>
          </w:tcPr>
          <w:p>
            <w:r>
              <w:t>2.8</w:t>
            </w:r>
          </w:p>
        </w:tc>
      </w:tr>
    </w:tbl>
    <w:p>
      <w:pPr>
        <w:pStyle w:val="2"/>
        <w:widowControl w:val="0"/>
        <w:jc w:val="both"/>
      </w:pPr>
      <w:bookmarkStart w:id="56" w:name="气象峰值工况"/>
      <w:bookmarkEnd w:id="56"/>
      <w:bookmarkStart w:id="57" w:name="_Toc24173"/>
      <w:r>
        <w:t>围护结构</w:t>
      </w:r>
      <w:bookmarkEnd w:id="57"/>
    </w:p>
    <w:p>
      <w:pPr>
        <w:pStyle w:val="4"/>
        <w:widowControl w:val="0"/>
        <w:jc w:val="both"/>
      </w:pPr>
      <w:bookmarkStart w:id="58" w:name="_Toc22505"/>
      <w:r>
        <w:t>工程材料</w:t>
      </w:r>
      <w:bookmarkEnd w:id="58"/>
    </w:p>
    <w:p>
      <w:pPr>
        <w:pStyle w:val="5"/>
        <w:widowControl w:val="0"/>
        <w:jc w:val="both"/>
      </w:pPr>
      <w:r>
        <w:t>普通材料</w:t>
      </w:r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5"/>
        <w:widowControl w:val="0"/>
        <w:jc w:val="both"/>
      </w:pPr>
      <w:r>
        <w:t>其他材料</w:t>
      </w:r>
    </w:p>
    <w:tbl>
      <w:tblPr>
        <w:tblStyle w:val="19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9" w:name="_Toc4655"/>
      <w:r>
        <w:t>围护结构作法简要说明</w:t>
      </w:r>
      <w:bookmarkEnd w:id="5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(K=0.397,D=3.998)：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涂料饰面(忽略保温性能) 1mm＋抗裂砂浆（网格布） 5mm＋</w:t>
      </w:r>
      <w:r>
        <w:rPr>
          <w:color w:val="800000"/>
        </w:rPr>
        <w:t>石墨聚苯板 80mm</w:t>
      </w:r>
      <w:r>
        <w:rPr>
          <w:color w:val="000000"/>
        </w:rPr>
        <w:t>＋水泥砂浆 20mm＋</w:t>
      </w:r>
      <w:r>
        <w:rPr>
          <w:color w:val="800080"/>
        </w:rPr>
        <w:t>烧结实心砖 200mm</w:t>
      </w:r>
      <w:r>
        <w:rPr>
          <w:color w:val="000000"/>
        </w:rPr>
        <w:t>＋纤维石膏板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pStyle w:val="4"/>
        <w:widowControl w:val="0"/>
        <w:jc w:val="both"/>
        <w:rPr>
          <w:color w:val="000000"/>
        </w:rPr>
      </w:pPr>
      <w:bookmarkStart w:id="60" w:name="_Toc18330"/>
      <w:r>
        <w:rPr>
          <w:color w:val="000000"/>
        </w:rPr>
        <w:t>体形系数</w:t>
      </w:r>
      <w:bookmarkEnd w:id="60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6553.31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16208.44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1956.44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2117.87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8217.03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2667.44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4885.93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407.16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1339.07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2574.59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530.88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3382.53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6553.31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16208.44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1" w:name="_Toc12623"/>
      <w:r>
        <w:rPr>
          <w:color w:val="000000"/>
        </w:rPr>
        <w:t>窗墙比</w:t>
      </w:r>
      <w:bookmarkEnd w:id="61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245.50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0.30×0.60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0.60×0.50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3.50×3.10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1.30×0.10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2.31×2.10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2.40×0.80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2.50×1.60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2.60×0.40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3.30×2.50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6.27×0.90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227.36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1.28×0.60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1.63×1.50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2.00×0.60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2.00×0.70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3.10×2.50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5.40×2.10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135.11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1.20×1.30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1.30×1.40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2.60×1.70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0.30×0.60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235.21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0.30×3.10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1.28×1.00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1.31×1.00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2.50×3.30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1.90×0.80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3.30×0.60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4.04×2.10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62" w:name="_Toc29246"/>
      <w:r>
        <w:rPr>
          <w:color w:val="000000"/>
        </w:rPr>
        <w:t>天窗</w:t>
      </w:r>
      <w:bookmarkEnd w:id="62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63" w:name="_Toc8569"/>
      <w:r>
        <w:rPr>
          <w:color w:val="000000"/>
        </w:rPr>
        <w:t>屋顶</w:t>
      </w:r>
      <w:bookmarkEnd w:id="63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斜屋面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4" w:name="_Toc14626"/>
      <w:r>
        <w:rPr>
          <w:color w:val="000000"/>
        </w:rPr>
        <w:t>外墙</w:t>
      </w:r>
      <w:bookmarkEnd w:id="64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 修正后:0.49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斜屋面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851.87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925.07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斜屋面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861.00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3590.88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斜屋面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3630.03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20432"/>
      <w:r>
        <w:rPr>
          <w:color w:val="000000"/>
        </w:rPr>
        <w:t>挑空楼板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>
      <w:pPr>
        <w:pStyle w:val="4"/>
        <w:widowControl w:val="0"/>
        <w:jc w:val="both"/>
        <w:rPr>
          <w:color w:val="000000"/>
        </w:rPr>
      </w:pPr>
      <w:bookmarkStart w:id="66" w:name="_Toc18875"/>
      <w:r>
        <w:rPr>
          <w:color w:val="000000"/>
        </w:rPr>
        <w:t>外窗热工</w:t>
      </w:r>
      <w:bookmarkEnd w:id="66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0001，C0427，C0520，C0621，C0709，C1020，C1208，C1213，C1215，C1220，C1314，C1513，C1922，C2015，C2318，C2509，C2520，C2617，C3015，C4121，C4141，C4821，C4841，C5609，透光门-M1521，C0306，C0312，C0318，C0321，C0324，C0331，C0629，C0631，C0808，C0920，C0927，C1006，C1008，C1014，C1032，C1210，C1310，C1321，C1433，C1509，C1520，C1824，C1833，C1908，C2020，C2030，C2521，C2541，C2736，C2809，C3306，C3515，C3615，C4021，C5606，C5621，C5641，C0221，C0521，C0610，C0633，C0636，C0810，C1018，C1119，C1222，C1224，C1301，C1331，C1516，C1612，C1615，C2321，C2341，C2408，C2516，C2604，C2724，C2741，C3018，C3025，C3218，C3310，C3609，C4108，C4317，C4421，C4521，C4541，C6309，透光门-M0921，透光门-M1221，透光门-M1821，001，C0430，C0533，C1111，C1209，C1212，C1214，C1306，C1610，C1641，C1812，C2006，C2007，C2012，C2022，C2024，C2506，C2715，C2716，C3106，C4441，C5221，C5421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来源：实测数据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固定百叶外遮阳/平板外遮阳/部分无遮阳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平板外遮阳/部分无遮阳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平板外遮阳/固定百叶外遮阳/部分无遮阳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843.17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</w:rPr>
      </w:pPr>
      <w:bookmarkStart w:id="67" w:name="_Toc23882"/>
      <w:r>
        <w:rPr>
          <w:color w:val="000000"/>
        </w:rPr>
        <w:t>可开启窗扇</w:t>
      </w:r>
      <w:bookmarkEnd w:id="6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1003(最不利房间)</w:t>
            </w:r>
          </w:p>
        </w:tc>
        <w:tc>
          <w:tcPr>
            <w:vMerge w:val="restart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8" w:name="_Toc11545"/>
      <w:r>
        <w:rPr>
          <w:color w:val="000000"/>
        </w:rPr>
        <w:t>围护结构概况</w:t>
      </w:r>
      <w:bookmarkEnd w:id="68"/>
    </w:p>
    <w:p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7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7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5.52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4.94</w:t>
            </w:r>
            <w:bookmarkEnd w:id="7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4.01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9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3.46</w:t>
            </w:r>
            <w:bookmarkEnd w:id="8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87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8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9"/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90" w:name="_Toc13030"/>
      <w:r>
        <w:rPr>
          <w:color w:val="000000"/>
        </w:rPr>
        <w:t>设计建筑</w:t>
      </w:r>
      <w:bookmarkEnd w:id="90"/>
    </w:p>
    <w:p>
      <w:pPr>
        <w:pStyle w:val="4"/>
        <w:widowControl w:val="0"/>
        <w:jc w:val="both"/>
        <w:rPr>
          <w:color w:val="000000"/>
        </w:rPr>
      </w:pPr>
      <w:bookmarkStart w:id="91" w:name="_Toc17350"/>
      <w:r>
        <w:rPr>
          <w:color w:val="000000"/>
        </w:rPr>
        <w:t>房间类型</w:t>
      </w:r>
      <w:bookmarkEnd w:id="91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92" w:name="_Toc25723"/>
      <w:r>
        <w:rPr>
          <w:color w:val="000000"/>
        </w:rPr>
        <w:t>系统类型</w:t>
      </w:r>
      <w:bookmarkEnd w:id="92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2602.65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3" w:name="_Toc6604"/>
      <w:r>
        <w:rPr>
          <w:color w:val="000000"/>
        </w:rPr>
        <w:t>制冷系统</w:t>
      </w:r>
      <w:bookmarkEnd w:id="93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2.9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11.5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15.8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21.4</w:t>
            </w:r>
          </w:p>
        </w:tc>
        <w:tc>
          <w:tcPr>
            <w:vAlign w:val="center"/>
          </w:tcPr>
          <w:p>
            <w:r>
              <w:t>5.61</w:t>
            </w:r>
          </w:p>
        </w:tc>
        <w:tc>
          <w:tcPr>
            <w:vAlign w:val="center"/>
          </w:tcPr>
          <w:p>
            <w:r>
              <w:t>1.8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2.9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5160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1221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126</w:t>
            </w:r>
          </w:p>
        </w:tc>
        <w:tc>
          <w:tcPr>
            <w:vAlign w:val="center"/>
          </w:tcPr>
          <w:p>
            <w:r>
              <w:t>105</w:t>
            </w:r>
          </w:p>
        </w:tc>
        <w:tc>
          <w:tcPr>
            <w:vAlign w:val="center"/>
          </w:tcPr>
          <w:p>
            <w:r>
              <w:t>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2354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536</w:t>
            </w:r>
          </w:p>
        </w:tc>
        <w:tc>
          <w:tcPr>
            <w:vAlign w:val="center"/>
          </w:tcPr>
          <w:p>
            <w:r>
              <w:t>4.39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1920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356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2052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364</w:t>
            </w:r>
          </w:p>
        </w:tc>
        <w:tc>
          <w:tcPr>
            <w:vAlign w:val="center"/>
          </w:tcPr>
          <w:p>
            <w:r>
              <w:t>5.64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8256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1601</w:t>
            </w:r>
          </w:p>
        </w:tc>
        <w:tc>
          <w:tcPr>
            <w:vAlign w:val="center"/>
          </w:tcPr>
          <w:p>
            <w:r>
              <w:t>5.16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97650</w:t>
            </w:r>
          </w:p>
        </w:tc>
        <w:tc>
          <w:tcPr>
            <w:vAlign w:val="center"/>
          </w:tcPr>
          <w:p>
            <w:r>
              <w:t>516</w:t>
            </w:r>
          </w:p>
        </w:tc>
        <w:tc>
          <w:tcPr>
            <w:vAlign w:val="center"/>
          </w:tcPr>
          <w:p>
            <w:r>
              <w:t>15480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1496</w:t>
            </w:r>
          </w:p>
        </w:tc>
        <w:tc>
          <w:tcPr>
            <w:vAlign w:val="center"/>
          </w:tcPr>
          <w:p>
            <w:r>
              <w:t>1290</w:t>
            </w:r>
          </w:p>
        </w:tc>
        <w:tc>
          <w:tcPr>
            <w:vAlign w:val="center"/>
          </w:tcPr>
          <w:p>
            <w:r>
              <w:t>413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117391</w:t>
            </w:r>
          </w:p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19557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1896</w:t>
            </w:r>
          </w:p>
        </w:tc>
        <w:tc>
          <w:tcPr>
            <w:vAlign w:val="center"/>
          </w:tcPr>
          <w:p>
            <w:r>
              <w:t>1629</w:t>
            </w:r>
          </w:p>
        </w:tc>
        <w:tc>
          <w:tcPr>
            <w:vAlign w:val="center"/>
          </w:tcPr>
          <w:p>
            <w:r>
              <w:t>548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16188"/>
      <w:r>
        <w:rPr>
          <w:color w:val="000000"/>
        </w:rPr>
        <w:t>供暖系统</w:t>
      </w:r>
      <w:bookmarkEnd w:id="94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4.6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9.2</w:t>
            </w:r>
          </w:p>
        </w:tc>
        <w:tc>
          <w:tcPr>
            <w:vAlign w:val="center"/>
          </w:tcPr>
          <w:p>
            <w:r>
              <w:t>5.54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4.39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127</w:t>
            </w:r>
          </w:p>
        </w:tc>
        <w:tc>
          <w:tcPr>
            <w:vAlign w:val="center"/>
          </w:tcPr>
          <w:p>
            <w:r>
              <w:t>28.8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3565</w:t>
            </w:r>
          </w:p>
        </w:tc>
        <w:tc>
          <w:tcPr>
            <w:vAlign w:val="center"/>
          </w:tcPr>
          <w:p>
            <w:r>
              <w:t>401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656</w:t>
            </w:r>
          </w:p>
        </w:tc>
        <w:tc>
          <w:tcPr>
            <w:vAlign w:val="center"/>
          </w:tcPr>
          <w:p>
            <w:r>
              <w:t>153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7272</w:t>
            </w:r>
          </w:p>
        </w:tc>
        <w:tc>
          <w:tcPr>
            <w:vAlign w:val="center"/>
          </w:tcPr>
          <w:p>
            <w:r>
              <w:t>193</w:t>
            </w:r>
          </w:p>
        </w:tc>
        <w:tc>
          <w:tcPr>
            <w:vAlign w:val="center"/>
          </w:tcPr>
          <w:p>
            <w:r>
              <w:t>5.49</w:t>
            </w:r>
          </w:p>
        </w:tc>
        <w:tc>
          <w:tcPr>
            <w:vAlign w:val="center"/>
          </w:tcPr>
          <w:p>
            <w:r>
              <w:t>1324</w:t>
            </w:r>
          </w:p>
        </w:tc>
        <w:tc>
          <w:tcPr>
            <w:vAlign w:val="center"/>
          </w:tcPr>
          <w:p>
            <w:r>
              <w:t>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7917</w:t>
            </w:r>
          </w:p>
        </w:tc>
        <w:tc>
          <w:tcPr>
            <w:vAlign w:val="center"/>
          </w:tcPr>
          <w:p>
            <w:r>
              <w:t>127</w:t>
            </w:r>
          </w:p>
        </w:tc>
        <w:tc>
          <w:tcPr>
            <w:vAlign w:val="center"/>
          </w:tcPr>
          <w:p>
            <w:r>
              <w:t>5.27</w:t>
            </w:r>
          </w:p>
        </w:tc>
        <w:tc>
          <w:tcPr>
            <w:vAlign w:val="center"/>
          </w:tcPr>
          <w:p>
            <w:r>
              <w:t>1501</w:t>
            </w:r>
          </w:p>
        </w:tc>
        <w:tc>
          <w:tcPr>
            <w:vAlign w:val="center"/>
          </w:tcPr>
          <w:p>
            <w:r>
              <w:t>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4602</w:t>
            </w:r>
          </w:p>
        </w:tc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4.72</w:t>
            </w:r>
          </w:p>
        </w:tc>
        <w:tc>
          <w:tcPr>
            <w:vAlign w:val="center"/>
          </w:tcPr>
          <w:p>
            <w:r>
              <w:t>975</w:t>
            </w:r>
          </w:p>
        </w:tc>
        <w:tc>
          <w:tcPr>
            <w:vAlign w:val="center"/>
          </w:tcPr>
          <w:p>
            <w: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3048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693</w:t>
            </w:r>
          </w:p>
        </w:tc>
        <w:tc>
          <w:tcPr>
            <w:vAlign w:val="center"/>
          </w:tcPr>
          <w:p>
            <w:r>
              <w:t>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2122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432</w:t>
            </w:r>
          </w:p>
        </w:tc>
        <w:tc>
          <w:tcPr>
            <w:vAlign w:val="center"/>
          </w:tcPr>
          <w:p>
            <w:r>
              <w:t>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28527</w:t>
            </w:r>
          </w:p>
        </w:tc>
        <w:tc>
          <w:tcPr>
            <w:vAlign w:val="center"/>
          </w:tcPr>
          <w:p>
            <w:r>
              <w:t>817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5581</w:t>
            </w:r>
          </w:p>
        </w:tc>
        <w:tc>
          <w:tcPr>
            <w:vAlign w:val="center"/>
          </w:tcPr>
          <w:p>
            <w:r>
              <w:t>329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5" w:name="_Toc7091"/>
      <w:r>
        <w:rPr>
          <w:color w:val="000000"/>
        </w:rPr>
        <w:t>空调风机</w:t>
      </w:r>
      <w:bookmarkEnd w:id="95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8913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2139</w:t>
            </w:r>
          </w:p>
        </w:tc>
        <w:tc>
          <w:tcPr>
            <w:vAlign w:val="center"/>
          </w:tcPr>
          <w:p>
            <w:r>
              <w:t>2703</w:t>
            </w:r>
          </w:p>
        </w:tc>
        <w:tc>
          <w:tcPr>
            <w:vAlign w:val="center"/>
          </w:tcPr>
          <w:p>
            <w:r>
              <w:t>3487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3487</w:t>
            </w:r>
          </w:p>
        </w:tc>
      </w:tr>
    </w:tbl>
    <w:p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7131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1711</w:t>
            </w:r>
          </w:p>
        </w:tc>
        <w:tc>
          <w:tcPr>
            <w:vAlign w:val="center"/>
          </w:tcPr>
          <w:p>
            <w:r>
              <w:t>2703</w:t>
            </w:r>
          </w:p>
        </w:tc>
        <w:tc>
          <w:tcPr>
            <w:vAlign w:val="center"/>
          </w:tcPr>
          <w:p>
            <w:r>
              <w:t>2789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2789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1520</w:t>
            </w:r>
          </w:p>
        </w:tc>
        <w:tc>
          <w:tcPr>
            <w:vAlign w:val="center"/>
          </w:tcPr>
          <w:p>
            <w:r>
              <w:t>2432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2432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6" w:name="_Toc2341"/>
      <w:r>
        <w:rPr>
          <w:color w:val="000000"/>
        </w:rPr>
        <w:t>负荷分项统计</w:t>
      </w:r>
      <w:bookmarkEnd w:id="9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-13.83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-5.16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2.03</w:t>
            </w:r>
          </w:p>
        </w:tc>
        <w:tc>
          <w:tcPr>
            <w:vAlign w:val="center"/>
          </w:tcPr>
          <w:p>
            <w:r>
              <w:t>-8.43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-4.39</w:t>
            </w:r>
          </w:p>
        </w:tc>
        <w:tc>
          <w:tcPr>
            <w:vAlign w:val="center"/>
          </w:tcPr>
          <w:p>
            <w:r>
              <w:t>34.71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97" w:name="_Toc15547"/>
      <w:r>
        <w:t>逐月负荷表</w:t>
      </w:r>
      <w:bookmarkEnd w:id="9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164.390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1月14日10时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156.704</w:t>
            </w:r>
          </w:p>
        </w:tc>
        <w:tc>
          <w:tcPr>
            <w:vAlign w:val="center"/>
          </w:tcPr>
          <w:p>
            <w:r>
              <w:t>2月25日10时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153.571</w:t>
            </w:r>
          </w:p>
        </w:tc>
        <w:tc>
          <w:tcPr>
            <w:vAlign w:val="center"/>
          </w:tcPr>
          <w:p>
            <w:r>
              <w:t>3月4日10时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164.509</w:t>
            </w:r>
          </w:p>
        </w:tc>
        <w:tc>
          <w:tcPr>
            <w:vAlign w:val="center"/>
          </w:tcPr>
          <w:p>
            <w:r>
              <w:t>6月27日15时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232.649</w:t>
            </w:r>
          </w:p>
        </w:tc>
        <w:tc>
          <w:tcPr>
            <w:vAlign w:val="center"/>
          </w:tcPr>
          <w:p>
            <w:r>
              <w:t>7月22日10时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44729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278.032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8月6日10时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18642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253.612</w:t>
            </w:r>
          </w:p>
        </w:tc>
        <w:tc>
          <w:tcPr>
            <w:vAlign w:val="center"/>
          </w:tcPr>
          <w:p>
            <w:r>
              <w:t>9月9日10时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52.330</w:t>
            </w:r>
          </w:p>
        </w:tc>
        <w:tc>
          <w:tcPr>
            <w:vAlign w:val="center"/>
          </w:tcPr>
          <w:p>
            <w:r>
              <w:t>12月16日10时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98" w:name="_Toc24803"/>
      <w:r>
        <w:t>逐月电耗</w:t>
      </w:r>
      <w:bookmarkEnd w:id="9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9" w:name="_Toc24480"/>
      <w:r>
        <w:rPr>
          <w:color w:val="000000"/>
        </w:rPr>
        <w:t>参照建筑</w:t>
      </w:r>
      <w:bookmarkEnd w:id="99"/>
    </w:p>
    <w:p>
      <w:pPr>
        <w:pStyle w:val="4"/>
        <w:widowControl w:val="0"/>
        <w:jc w:val="both"/>
        <w:rPr>
          <w:color w:val="000000"/>
        </w:rPr>
      </w:pPr>
      <w:bookmarkStart w:id="100" w:name="_Toc27132"/>
      <w:r>
        <w:rPr>
          <w:color w:val="000000"/>
        </w:rPr>
        <w:t>房间类型</w:t>
      </w:r>
      <w:bookmarkEnd w:id="100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101" w:name="_Toc7838"/>
      <w:r>
        <w:rPr>
          <w:color w:val="000000"/>
        </w:rPr>
        <w:t>系统类型</w:t>
      </w:r>
      <w:bookmarkEnd w:id="101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2" w:name="_Toc3909"/>
      <w:r>
        <w:rPr>
          <w:color w:val="000000"/>
        </w:rPr>
        <w:t>制冷系统</w:t>
      </w:r>
      <w:bookmarkEnd w:id="102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339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162314</w:t>
            </w:r>
          </w:p>
        </w:tc>
        <w:tc>
          <w:tcPr>
            <w:vAlign w:val="center"/>
          </w:tcPr>
          <w:p>
            <w:r>
              <w:t>5.55</w:t>
            </w:r>
          </w:p>
        </w:tc>
        <w:tc>
          <w:tcPr>
            <w:vAlign w:val="center"/>
          </w:tcPr>
          <w:p>
            <w:r>
              <w:t>29246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29246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403.39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8028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403.39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7606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7606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1856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3" w:name="_Toc13469"/>
      <w:r>
        <w:rPr>
          <w:color w:val="000000"/>
        </w:rPr>
        <w:t>供暖系统</w:t>
      </w:r>
      <w:bookmarkEnd w:id="103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50625</w:t>
            </w:r>
          </w:p>
        </w:tc>
        <w:tc>
          <w:tcPr>
            <w:vAlign w:val="center"/>
          </w:tcPr>
          <w:p>
            <w:r>
              <w:t>22011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297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863</w:t>
            </w:r>
          </w:p>
        </w:tc>
        <w:tc>
          <w:tcPr>
            <w:vAlign w:val="center"/>
          </w:tcPr>
          <w:p>
            <w:r>
              <w:t>1108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4" w:name="_Toc13791"/>
      <w:r>
        <w:rPr>
          <w:color w:val="000000"/>
        </w:rPr>
        <w:t>空调风机</w:t>
      </w:r>
      <w:bookmarkEnd w:id="104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8913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3655</w:t>
            </w:r>
          </w:p>
        </w:tc>
        <w:tc>
          <w:tcPr>
            <w:vAlign w:val="center"/>
          </w:tcPr>
          <w:p>
            <w:r>
              <w:t>2703</w:t>
            </w:r>
          </w:p>
        </w:tc>
        <w:tc>
          <w:tcPr>
            <w:vAlign w:val="center"/>
          </w:tcPr>
          <w:p>
            <w:r>
              <w:t>9878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9878</w:t>
            </w:r>
          </w:p>
        </w:tc>
      </w:tr>
    </w:tbl>
    <w:p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7131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1212</w:t>
            </w:r>
          </w:p>
        </w:tc>
        <w:tc>
          <w:tcPr>
            <w:vAlign w:val="center"/>
          </w:tcPr>
          <w:p>
            <w:r>
              <w:t>2703</w:t>
            </w:r>
          </w:p>
        </w:tc>
        <w:tc>
          <w:tcPr>
            <w:vAlign w:val="center"/>
          </w:tcPr>
          <w:p>
            <w:r>
              <w:t>3277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3277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10244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1550</w:t>
            </w:r>
          </w:p>
        </w:tc>
        <w:tc>
          <w:tcPr>
            <w:vAlign w:val="center"/>
          </w:tcPr>
          <w:p>
            <w:r>
              <w:t>15877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15877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5" w:name="_Toc6311"/>
      <w:r>
        <w:rPr>
          <w:color w:val="000000"/>
        </w:rPr>
        <w:t>负荷分项统计</w:t>
      </w:r>
      <w:bookmarkEnd w:id="105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-20.94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-14.97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47.99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06" w:name="_Toc19802"/>
      <w:r>
        <w:t>逐月负荷表</w:t>
      </w:r>
      <w:bookmarkEnd w:id="10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281.275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1月14日10时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239.724</w:t>
            </w:r>
          </w:p>
        </w:tc>
        <w:tc>
          <w:tcPr>
            <w:vAlign w:val="center"/>
          </w:tcPr>
          <w:p>
            <w:r>
              <w:t>2月25日10时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208.492</w:t>
            </w:r>
          </w:p>
        </w:tc>
        <w:tc>
          <w:tcPr>
            <w:vAlign w:val="center"/>
          </w:tcPr>
          <w:p>
            <w:r>
              <w:t>3月4日10时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227.551</w:t>
            </w:r>
          </w:p>
        </w:tc>
        <w:tc>
          <w:tcPr>
            <w:vAlign w:val="center"/>
          </w:tcPr>
          <w:p>
            <w:r>
              <w:t>6月25日17时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301.814</w:t>
            </w:r>
          </w:p>
        </w:tc>
        <w:tc>
          <w:tcPr>
            <w:vAlign w:val="center"/>
          </w:tcPr>
          <w:p>
            <w:r>
              <w:t>7月10日10时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371.423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8月5日10时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299.382</w:t>
            </w:r>
          </w:p>
        </w:tc>
        <w:tc>
          <w:tcPr>
            <w:vAlign w:val="center"/>
          </w:tcPr>
          <w:p>
            <w:r>
              <w:t>9月9日15时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102.232</w:t>
            </w:r>
          </w:p>
        </w:tc>
        <w:tc>
          <w:tcPr>
            <w:vAlign w:val="center"/>
          </w:tcPr>
          <w:p>
            <w:r>
              <w:t>12月23日10时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07" w:name="_Toc9745"/>
      <w:r>
        <w:t>逐月电耗</w:t>
      </w:r>
      <w:bookmarkEnd w:id="10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8" w:name="_Toc19885"/>
      <w:r>
        <w:rPr>
          <w:color w:val="000000"/>
        </w:rPr>
        <w:t>计算结果</w:t>
      </w:r>
      <w:bookmarkEnd w:id="108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别名"/>
            <w:r>
              <w:rPr>
                <w:rFonts w:hint="eastAsia"/>
                <w:lang w:val="en-US"/>
              </w:rPr>
              <w:t>节能率</w:t>
            </w:r>
            <w:bookmarkEnd w:id="109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34.71</w:t>
            </w:r>
            <w:bookmarkEnd w:id="11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量2"/>
            <w:r>
              <w:rPr>
                <w:rFonts w:hint="eastAsia"/>
                <w:lang w:val="en-US"/>
              </w:rPr>
              <w:t>47.99</w:t>
            </w:r>
            <w:bookmarkEnd w:id="11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冷量2"/>
            <w:r>
              <w:rPr>
                <w:rFonts w:hint="eastAsia"/>
                <w:kern w:val="2"/>
                <w:szCs w:val="24"/>
                <w:lang w:val="en-US"/>
              </w:rPr>
              <w:t>27.68%</w:t>
            </w:r>
            <w:bookmarkEnd w:id="11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耗热量2"/>
            <w:r>
              <w:rPr>
                <w:rFonts w:hint="eastAsia"/>
                <w:lang w:val="en-US"/>
              </w:rPr>
              <w:t>8.43</w:t>
            </w:r>
            <w:bookmarkEnd w:id="11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热量2"/>
            <w:r>
              <w:rPr>
                <w:lang w:val="en-US"/>
              </w:rPr>
              <w:t>14.97</w:t>
            </w:r>
            <w:bookmarkEnd w:id="11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热量2"/>
            <w:r>
              <w:rPr>
                <w:rFonts w:hint="eastAsia"/>
                <w:kern w:val="2"/>
                <w:szCs w:val="24"/>
                <w:lang w:val="en-US"/>
              </w:rPr>
              <w:t>43.65%</w:t>
            </w:r>
            <w:bookmarkEnd w:id="11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耗冷耗热量2"/>
            <w:r>
              <w:rPr>
                <w:rFonts w:hint="eastAsia"/>
                <w:lang w:val="en-US"/>
              </w:rPr>
              <w:t>43.14</w:t>
            </w:r>
            <w:bookmarkEnd w:id="11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62.95</w:t>
            </w:r>
            <w:bookmarkEnd w:id="11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31.47%</w:t>
            </w:r>
            <w:bookmarkEnd w:id="1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冷负荷"/>
            <w:r>
              <w:rPr>
                <w:rFonts w:hint="eastAsia"/>
                <w:lang w:val="en-US"/>
              </w:rPr>
              <w:t>4.39</w:t>
            </w:r>
            <w:bookmarkEnd w:id="11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暖负荷"/>
            <w:r>
              <w:rPr>
                <w:rFonts w:hint="eastAsia"/>
                <w:lang w:val="en-US"/>
              </w:rPr>
              <w:t>2.03</w:t>
            </w:r>
            <w:bookmarkEnd w:id="12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负荷"/>
            <w:r>
              <w:rPr>
                <w:rFonts w:hint="eastAsia"/>
                <w:lang w:val="en-US"/>
              </w:rPr>
              <w:t>6.42</w:t>
            </w:r>
            <w:bookmarkEnd w:id="12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冷源能耗"/>
            <w:r>
              <w:rPr>
                <w:lang w:val="en-US"/>
              </w:rPr>
              <w:t>5.78</w:t>
            </w:r>
            <w:bookmarkEnd w:id="12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源能耗"/>
            <w:r>
              <w:rPr>
                <w:lang w:val="en-US"/>
              </w:rPr>
              <w:t>8.65</w:t>
            </w:r>
            <w:bookmarkEnd w:id="123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空调能耗"/>
            <w:r>
              <w:rPr>
                <w:lang w:val="en-US"/>
              </w:rPr>
              <w:t>49.44%</w:t>
            </w:r>
            <w:bookmarkEnd w:id="1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0.56</w:t>
            </w:r>
            <w:bookmarkEnd w:id="12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却水泵能耗"/>
            <w:r>
              <w:rPr>
                <w:lang w:val="en-US"/>
              </w:rPr>
              <w:t>2.37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冷冻水泵能耗"/>
            <w:r>
              <w:rPr>
                <w:lang w:val="en-US"/>
              </w:rPr>
              <w:t>0.48</w:t>
            </w:r>
            <w:bookmarkEnd w:id="12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冷冻水泵能耗"/>
            <w:r>
              <w:rPr>
                <w:lang w:val="en-US"/>
              </w:rPr>
              <w:t>2.25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冷却塔能耗"/>
            <w:r>
              <w:rPr>
                <w:rFonts w:hint="eastAsia"/>
                <w:lang w:val="en-US"/>
              </w:rPr>
              <w:t>0.16</w:t>
            </w:r>
            <w:bookmarkEnd w:id="12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却塔能耗"/>
            <w:r>
              <w:rPr>
                <w:rFonts w:hint="eastAsia"/>
                <w:lang w:val="en-US"/>
              </w:rPr>
              <w:t>0.55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空调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单元式空调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空调能耗"/>
            <w:r>
              <w:rPr>
                <w:lang w:val="en-US"/>
              </w:rPr>
              <w:t>6.99</w:t>
            </w:r>
            <w:bookmarkEnd w:id="13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能耗"/>
            <w:r>
              <w:rPr>
                <w:lang w:val="en-US"/>
              </w:rPr>
              <w:t>13.82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1.65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源能耗"/>
            <w:r>
              <w:rPr>
                <w:lang w:val="en-US"/>
              </w:rPr>
              <w:t>6.51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供暖能耗"/>
            <w:r>
              <w:rPr>
                <w:rFonts w:hint="eastAsia"/>
                <w:lang w:val="en-US"/>
              </w:rPr>
              <w:t>74.44%</w:t>
            </w:r>
            <w:bookmarkEnd w:id="13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0.10</w:t>
            </w:r>
            <w:bookmarkEnd w:id="13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水泵能耗"/>
            <w:r>
              <w:rPr>
                <w:lang w:val="en-US"/>
              </w:rPr>
              <w:t>0.33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单元式热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供暖能耗"/>
            <w:r>
              <w:rPr>
                <w:lang w:val="en-US"/>
              </w:rPr>
              <w:t>1.75</w:t>
            </w:r>
            <w:bookmarkEnd w:id="14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供暖能耗"/>
            <w:r>
              <w:rPr>
                <w:lang w:val="en-US"/>
              </w:rPr>
              <w:t>6.83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1.86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3.89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70.05%</w:t>
            </w:r>
            <w:bookmarkEnd w:id="14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0.72</w:t>
            </w:r>
            <w:bookmarkEnd w:id="14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4.69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空调动力能耗"/>
            <w:r>
              <w:rPr>
                <w:rFonts w:hint="eastAsia"/>
                <w:lang w:val="en-US"/>
              </w:rPr>
              <w:t>2.57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空调动力能耗"/>
            <w:r>
              <w:rPr>
                <w:rFonts w:hint="eastAsia"/>
                <w:lang w:val="en-US"/>
              </w:rPr>
              <w:t>8.58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空调供暖风机能耗"/>
            <w:r>
              <w:rPr>
                <w:rFonts w:hint="eastAsia"/>
                <w:lang w:val="en-US"/>
              </w:rPr>
              <w:t>11.30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空调供暖风机能耗"/>
            <w:r>
              <w:rPr>
                <w:lang w:val="en-US"/>
              </w:rPr>
              <w:t>29.23</w:t>
            </w:r>
            <w:bookmarkEnd w:id="155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空调供暖风机能耗"/>
            <w:r>
              <w:rPr>
                <w:rFonts w:hint="eastAsia"/>
                <w:lang w:val="en-US"/>
              </w:rPr>
              <w:t>61.33%</w:t>
            </w:r>
            <w:bookmarkEnd w:id="15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57" w:name="_Toc16135"/>
      <w:r>
        <w:rPr>
          <w:color w:val="000000"/>
        </w:rPr>
        <w:t>绿色建筑性能评估得分</w:t>
      </w:r>
      <w:bookmarkEnd w:id="157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61.33%</w:t>
            </w:r>
            <w:bookmarkEnd w:id="0"/>
          </w:p>
        </w:tc>
        <w:tc>
          <w:tcPr>
            <w:tcW w:w="706" w:type="dxa"/>
            <w:vAlign w:val="center"/>
          </w:tcPr>
          <w:p>
            <w:bookmarkStart w:id="158" w:name="得分空调供暖风机能耗"/>
            <w:r>
              <w:t>30</w:t>
            </w:r>
            <w:bookmarkEnd w:id="15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59" w:name="_Toc31262"/>
      <w:r>
        <w:rPr>
          <w:color w:val="000000"/>
        </w:rPr>
        <w:t>附录</w:t>
      </w:r>
      <w:bookmarkEnd w:id="159"/>
    </w:p>
    <w:p>
      <w:pPr>
        <w:pStyle w:val="4"/>
        <w:widowControl w:val="0"/>
        <w:jc w:val="both"/>
        <w:rPr>
          <w:color w:val="000000"/>
        </w:rPr>
      </w:pPr>
      <w:bookmarkStart w:id="160" w:name="_Toc1113"/>
      <w:r>
        <w:rPr>
          <w:color w:val="000000"/>
        </w:rPr>
        <w:t>工作日/节假日人员逐时在室率(%)</w:t>
      </w:r>
      <w:bookmarkEnd w:id="160"/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61" w:name="_Toc14425"/>
      <w:r>
        <w:t>工作日/节假日照明开关时间表(%)</w:t>
      </w:r>
      <w:bookmarkEnd w:id="161"/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2" w:name="_Toc21683"/>
      <w:r>
        <w:t>工作日/节假日设备逐时使用率(%)</w:t>
      </w:r>
      <w:bookmarkEnd w:id="162"/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3" w:name="_Toc1346"/>
      <w:r>
        <w:t>工作日/节假日空调系统运行时间表(1:开,0:关)</w:t>
      </w:r>
      <w:bookmarkEnd w:id="163"/>
    </w:p>
    <w:p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4" w:name="_Toc5809"/>
      <w:r>
        <w:t>工作日/节假日新风运行时间表(%)</w:t>
      </w:r>
      <w:bookmarkEnd w:id="164"/>
    </w:p>
    <w:p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OGJlZTE2YzZiN2JjZWIwNjhhOGU1Y2E3Yjg2NTcifQ=="/>
  </w:docVars>
  <w:rsids>
    <w:rsidRoot w:val="51747132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5174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47</Pages>
  <Words>16747</Words>
  <Characters>33805</Characters>
  <Lines>47</Lines>
  <Paragraphs>13</Paragraphs>
  <TotalTime>0</TotalTime>
  <ScaleCrop>false</ScaleCrop>
  <LinksUpToDate>false</LinksUpToDate>
  <CharactersWithSpaces>34085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2026-01-01T09:16:00Z</dcterms:created>
  <dc:creator>张灏文</dc:creator>
  <cp:lastModifiedBy>张灏文</cp:lastModifiedBy>
  <dcterms:modified xsi:type="dcterms:W3CDTF">2026-01-01T09:16:30Z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8B53FE9D955A4E4BA58EAE6413AC524F_11</vt:lpwstr>
  </property>
  <property fmtid="{D5CDD505-2E9C-101B-9397-08002B2CF9AE}" pid="3" name="KSOProductBuildVer">
    <vt:lpwstr>2052-11.1.0.14252</vt:lpwstr>
  </property>
</Properties>
</file>