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6EAB6">
      <w:pPr>
        <w:pStyle w:val="46"/>
      </w:pPr>
    </w:p>
    <w:p w14:paraId="12D60C34">
      <w:pPr>
        <w:pStyle w:val="46"/>
      </w:pPr>
    </w:p>
    <w:p w14:paraId="798B7C45">
      <w:pPr>
        <w:pStyle w:val="46"/>
        <w:jc w:val="distribute"/>
        <w:rPr>
          <w:b/>
          <w:sz w:val="72"/>
          <w:szCs w:val="72"/>
        </w:rPr>
      </w:pPr>
      <w:r>
        <w:rPr>
          <w:rFonts w:hint="eastAsia"/>
          <w:b/>
          <w:sz w:val="72"/>
          <w:szCs w:val="72"/>
        </w:rPr>
        <w:t>室外风环境模拟分析报告</w:t>
      </w:r>
    </w:p>
    <w:p w14:paraId="715C44E0">
      <w:pPr>
        <w:pStyle w:val="50"/>
        <w:spacing w:line="400" w:lineRule="exact"/>
      </w:pPr>
    </w:p>
    <w:p w14:paraId="1C56BA08">
      <w:pPr>
        <w:pStyle w:val="50"/>
        <w:rPr>
          <w:b/>
        </w:rPr>
      </w:pPr>
      <w:bookmarkStart w:id="0" w:name="项目名称"/>
    </w:p>
    <w:p w14:paraId="528D29A0">
      <w:pPr>
        <w:pStyle w:val="50"/>
        <w:rPr>
          <w:b/>
        </w:rPr>
      </w:pPr>
      <w:r>
        <w:rPr>
          <w:rFonts w:hint="eastAsia"/>
          <w:b/>
        </w:rPr>
        <w:t>设计编号：</w:t>
      </w:r>
      <w:bookmarkStart w:id="1" w:name="设计编号"/>
    </w:p>
    <w:p w14:paraId="44932EFA">
      <w:pPr>
        <w:pStyle w:val="50"/>
        <w:rPr>
          <w:b/>
        </w:rPr>
      </w:pPr>
    </w:p>
    <w:p w14:paraId="503B17C5">
      <w:pPr>
        <w:pStyle w:val="46"/>
        <w:jc w:val="center"/>
      </w:pPr>
      <w:bookmarkStart w:id="2" w:name="二维码"/>
      <w:r>
        <w:drawing>
          <wp:inline distT="0" distB="0" distL="0" distR="0">
            <wp:extent cx="1009650" cy="10096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177AB2BD">
      <w:pPr>
        <w:pStyle w:val="46"/>
        <w:jc w:val="center"/>
      </w:pPr>
    </w:p>
    <w:p w14:paraId="2E14F52D">
      <w:pPr>
        <w:pStyle w:val="46"/>
        <w:jc w:val="cente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EB12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3E5C60F">
            <w:pPr>
              <w:pStyle w:val="46"/>
              <w:spacing w:line="240" w:lineRule="auto"/>
              <w:jc w:val="distribute"/>
            </w:pPr>
            <w:r>
              <w:rPr>
                <w:rFonts w:hint="eastAsia"/>
              </w:rPr>
              <w:t>工程地点</w:t>
            </w:r>
          </w:p>
        </w:tc>
        <w:tc>
          <w:tcPr>
            <w:tcW w:w="475" w:type="dxa"/>
            <w:vAlign w:val="center"/>
          </w:tcPr>
          <w:p w14:paraId="4409C2FF">
            <w:pPr>
              <w:pStyle w:val="46"/>
              <w:spacing w:line="240" w:lineRule="auto"/>
              <w:ind w:right="-31" w:rightChars="-15"/>
              <w:jc w:val="center"/>
            </w:pPr>
            <w:r>
              <w:rPr>
                <w:rFonts w:hint="eastAsia"/>
              </w:rPr>
              <w:t>：</w:t>
            </w:r>
          </w:p>
        </w:tc>
        <w:tc>
          <w:tcPr>
            <w:tcW w:w="4624" w:type="dxa"/>
            <w:tcBorders>
              <w:bottom w:val="single" w:color="auto" w:sz="4" w:space="0"/>
            </w:tcBorders>
            <w:vAlign w:val="center"/>
          </w:tcPr>
          <w:p w14:paraId="3D906883">
            <w:pPr>
              <w:pStyle w:val="46"/>
              <w:spacing w:line="240" w:lineRule="auto"/>
              <w:jc w:val="center"/>
            </w:pPr>
            <w:bookmarkStart w:id="3" w:name="项目地点"/>
            <w:bookmarkStart w:id="4" w:name="工程地点"/>
            <w:r>
              <w:t>长春</w:t>
            </w:r>
            <w:bookmarkEnd w:id="3"/>
          </w:p>
        </w:tc>
      </w:tr>
      <w:tr w14:paraId="6DDCA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D40DA33">
            <w:pPr>
              <w:pStyle w:val="46"/>
              <w:spacing w:line="240" w:lineRule="auto"/>
              <w:jc w:val="distribute"/>
            </w:pPr>
            <w:r>
              <w:rPr>
                <w:rFonts w:hint="eastAsia"/>
              </w:rPr>
              <w:t>建设单位</w:t>
            </w:r>
          </w:p>
        </w:tc>
        <w:tc>
          <w:tcPr>
            <w:tcW w:w="475" w:type="dxa"/>
            <w:vAlign w:val="center"/>
          </w:tcPr>
          <w:p w14:paraId="0306DEDB">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11B031D0">
            <w:pPr>
              <w:pStyle w:val="46"/>
              <w:spacing w:line="240" w:lineRule="auto"/>
              <w:jc w:val="center"/>
            </w:pPr>
            <w:bookmarkStart w:id="5" w:name="建设单位"/>
            <w:bookmarkEnd w:id="5"/>
          </w:p>
        </w:tc>
      </w:tr>
      <w:tr w14:paraId="7871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F6E21C9">
            <w:pPr>
              <w:pStyle w:val="46"/>
              <w:spacing w:line="240" w:lineRule="auto"/>
              <w:jc w:val="distribute"/>
            </w:pPr>
            <w:r>
              <w:rPr>
                <w:rFonts w:hint="eastAsia"/>
              </w:rPr>
              <w:t>设计单位</w:t>
            </w:r>
          </w:p>
        </w:tc>
        <w:tc>
          <w:tcPr>
            <w:tcW w:w="475" w:type="dxa"/>
            <w:vAlign w:val="center"/>
          </w:tcPr>
          <w:p w14:paraId="5312E32F">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7CDC1EA8">
            <w:pPr>
              <w:pStyle w:val="46"/>
              <w:spacing w:line="240" w:lineRule="auto"/>
              <w:jc w:val="center"/>
            </w:pPr>
            <w:bookmarkStart w:id="6" w:name="设计单位"/>
            <w:bookmarkEnd w:id="6"/>
          </w:p>
        </w:tc>
      </w:tr>
      <w:tr w14:paraId="4A3B4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8C405C2">
            <w:pPr>
              <w:pStyle w:val="46"/>
              <w:spacing w:line="240" w:lineRule="auto"/>
              <w:jc w:val="distribute"/>
            </w:pPr>
            <w:r>
              <w:rPr>
                <w:rFonts w:hint="eastAsia"/>
              </w:rPr>
              <w:t>设计人</w:t>
            </w:r>
          </w:p>
        </w:tc>
        <w:tc>
          <w:tcPr>
            <w:tcW w:w="475" w:type="dxa"/>
            <w:vAlign w:val="center"/>
          </w:tcPr>
          <w:p w14:paraId="481751ED">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09F007C5">
            <w:pPr>
              <w:pStyle w:val="46"/>
              <w:spacing w:line="240" w:lineRule="auto"/>
              <w:jc w:val="center"/>
            </w:pPr>
          </w:p>
        </w:tc>
      </w:tr>
      <w:tr w14:paraId="06BCD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75430F3">
            <w:pPr>
              <w:pStyle w:val="46"/>
              <w:spacing w:line="240" w:lineRule="auto"/>
              <w:jc w:val="distribute"/>
            </w:pPr>
            <w:r>
              <w:rPr>
                <w:rFonts w:hint="eastAsia"/>
              </w:rPr>
              <w:t>校对人</w:t>
            </w:r>
          </w:p>
        </w:tc>
        <w:tc>
          <w:tcPr>
            <w:tcW w:w="475" w:type="dxa"/>
            <w:vAlign w:val="center"/>
          </w:tcPr>
          <w:p w14:paraId="6D4DBD85">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0B1F025F">
            <w:pPr>
              <w:pStyle w:val="46"/>
              <w:spacing w:line="240" w:lineRule="auto"/>
              <w:jc w:val="center"/>
            </w:pPr>
          </w:p>
        </w:tc>
      </w:tr>
      <w:tr w14:paraId="60B1F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B35CC60">
            <w:pPr>
              <w:pStyle w:val="46"/>
              <w:spacing w:line="240" w:lineRule="auto"/>
              <w:jc w:val="distribute"/>
            </w:pPr>
            <w:r>
              <w:rPr>
                <w:rFonts w:hint="eastAsia"/>
              </w:rPr>
              <w:t>审定人</w:t>
            </w:r>
          </w:p>
        </w:tc>
        <w:tc>
          <w:tcPr>
            <w:tcW w:w="475" w:type="dxa"/>
            <w:vAlign w:val="center"/>
          </w:tcPr>
          <w:p w14:paraId="4C14CD0B">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257D3E95">
            <w:pPr>
              <w:pStyle w:val="46"/>
              <w:spacing w:line="240" w:lineRule="auto"/>
              <w:jc w:val="center"/>
            </w:pPr>
          </w:p>
        </w:tc>
      </w:tr>
      <w:tr w14:paraId="617FB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AF7407B">
            <w:pPr>
              <w:pStyle w:val="46"/>
              <w:spacing w:line="240" w:lineRule="auto"/>
              <w:jc w:val="distribute"/>
            </w:pPr>
            <w:r>
              <w:rPr>
                <w:rFonts w:hint="eastAsia"/>
              </w:rPr>
              <w:t>报告日期</w:t>
            </w:r>
          </w:p>
        </w:tc>
        <w:tc>
          <w:tcPr>
            <w:tcW w:w="475" w:type="dxa"/>
            <w:vAlign w:val="center"/>
          </w:tcPr>
          <w:p w14:paraId="5A69A0E9">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F5065FB">
            <w:pPr>
              <w:pStyle w:val="46"/>
              <w:spacing w:line="240" w:lineRule="auto"/>
              <w:jc w:val="center"/>
            </w:pPr>
            <w:bookmarkStart w:id="7" w:name="报告日期"/>
            <w:r>
              <w:t>2025年12月28日</w:t>
            </w:r>
            <w:bookmarkEnd w:id="7"/>
          </w:p>
        </w:tc>
      </w:tr>
    </w:tbl>
    <w:p w14:paraId="6858AAE5"/>
    <w:p w14:paraId="7BF70EDF">
      <w:pPr>
        <w:pStyle w:val="48"/>
      </w:pPr>
    </w:p>
    <w:tbl>
      <w:tblPr>
        <w:tblStyle w:val="22"/>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E03AC0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6084F25">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151D9C0">
            <w:pPr>
              <w:pStyle w:val="4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09F16A21">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71BC3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F016BFA">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059B1226">
            <w:pPr>
              <w:pStyle w:val="4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4816029B">
            <w:pPr>
              <w:spacing w:line="360" w:lineRule="exact"/>
              <w:ind w:firstLine="360"/>
              <w:rPr>
                <w:sz w:val="18"/>
                <w:szCs w:val="18"/>
              </w:rPr>
            </w:pPr>
          </w:p>
        </w:tc>
      </w:tr>
      <w:tr w14:paraId="36EC529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9E612C8">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009C6EAB">
            <w:pPr>
              <w:pStyle w:val="48"/>
              <w:rPr>
                <w:szCs w:val="18"/>
              </w:rPr>
            </w:pPr>
            <w:r>
              <w:rPr>
                <w:rFonts w:hint="eastAsia"/>
                <w:szCs w:val="18"/>
              </w:rPr>
              <w:t xml:space="preserve">: </w:t>
            </w:r>
            <w:bookmarkStart w:id="10" w:name="加密锁号"/>
            <w:r>
              <w:rPr>
                <w:rFonts w:hint="eastAsia"/>
                <w:szCs w:val="18"/>
              </w:rPr>
              <w:t>T18061763604</w:t>
            </w:r>
            <w:bookmarkEnd w:id="10"/>
          </w:p>
        </w:tc>
        <w:tc>
          <w:tcPr>
            <w:tcW w:w="3958" w:type="dxa"/>
            <w:vMerge w:val="continue"/>
            <w:tcBorders>
              <w:top w:val="single" w:color="auto" w:sz="2" w:space="0"/>
              <w:left w:val="nil"/>
              <w:bottom w:val="nil"/>
              <w:right w:val="nil"/>
            </w:tcBorders>
            <w:vAlign w:val="center"/>
          </w:tcPr>
          <w:p w14:paraId="6614F7AF">
            <w:pPr>
              <w:spacing w:line="360" w:lineRule="exact"/>
              <w:ind w:firstLine="360"/>
              <w:rPr>
                <w:sz w:val="18"/>
                <w:szCs w:val="18"/>
              </w:rPr>
            </w:pPr>
          </w:p>
        </w:tc>
      </w:tr>
      <w:tr w14:paraId="3C8C77D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D9F1551">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5A03E6B3">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F8EC632">
            <w:pPr>
              <w:spacing w:line="360" w:lineRule="exact"/>
              <w:ind w:firstLine="360"/>
              <w:rPr>
                <w:sz w:val="18"/>
                <w:szCs w:val="18"/>
              </w:rPr>
            </w:pPr>
          </w:p>
        </w:tc>
      </w:tr>
    </w:tbl>
    <w:p w14:paraId="3689F9B7">
      <w:pPr>
        <w:jc w:val="center"/>
        <w:rPr>
          <w:b/>
          <w:bCs/>
          <w:sz w:val="32"/>
          <w:szCs w:val="32"/>
        </w:rPr>
      </w:pPr>
      <w:r>
        <w:rPr>
          <w:b/>
          <w:bCs/>
          <w:sz w:val="28"/>
          <w:szCs w:val="32"/>
        </w:rPr>
        <w:br w:type="page"/>
      </w:r>
      <w:r>
        <w:rPr>
          <w:rFonts w:hint="eastAsia"/>
          <w:b/>
          <w:bCs/>
          <w:sz w:val="28"/>
          <w:szCs w:val="32"/>
        </w:rPr>
        <w:t>目  录</w:t>
      </w:r>
    </w:p>
    <w:p w14:paraId="1008E1B3">
      <w:pPr>
        <w:pStyle w:val="19"/>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_Toc22122 </w:instrText>
      </w:r>
      <w:r>
        <w:rPr>
          <w:caps/>
        </w:rPr>
        <w:fldChar w:fldCharType="separate"/>
      </w:r>
      <w:r>
        <w:rPr>
          <w:rFonts w:hint="eastAsia" w:ascii="微软雅黑" w:hAnsi="微软雅黑" w:eastAsia="微软雅黑"/>
        </w:rPr>
        <w:t xml:space="preserve">1 </w:t>
      </w:r>
      <w:r>
        <w:rPr>
          <w:rFonts w:hint="eastAsia" w:ascii="微软雅黑" w:hAnsi="微软雅黑"/>
        </w:rPr>
        <w:t>项目概况</w:t>
      </w:r>
      <w:r>
        <w:tab/>
      </w:r>
      <w:r>
        <w:fldChar w:fldCharType="begin"/>
      </w:r>
      <w:r>
        <w:instrText xml:space="preserve"> PAGEREF _Toc22122 \h </w:instrText>
      </w:r>
      <w:r>
        <w:fldChar w:fldCharType="separate"/>
      </w:r>
      <w:r>
        <w:t>3</w:t>
      </w:r>
      <w:r>
        <w:fldChar w:fldCharType="end"/>
      </w:r>
      <w:r>
        <w:rPr>
          <w:caps/>
        </w:rPr>
        <w:fldChar w:fldCharType="end"/>
      </w:r>
    </w:p>
    <w:p w14:paraId="6CC04086">
      <w:pPr>
        <w:pStyle w:val="20"/>
        <w:tabs>
          <w:tab w:val="right" w:leader="dot" w:pos="8306"/>
          <w:tab w:val="clear" w:pos="540"/>
          <w:tab w:val="clear" w:pos="840"/>
          <w:tab w:val="clear" w:pos="8222"/>
          <w:tab w:val="clear" w:pos="8296"/>
        </w:tabs>
      </w:pPr>
      <w:r>
        <w:fldChar w:fldCharType="begin"/>
      </w:r>
      <w:r>
        <w:instrText xml:space="preserve"> HYPERLINK \l _Toc12162 </w:instrText>
      </w:r>
      <w: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_Toc12162 \h </w:instrText>
      </w:r>
      <w:r>
        <w:fldChar w:fldCharType="separate"/>
      </w:r>
      <w:r>
        <w:t>3</w:t>
      </w:r>
      <w:r>
        <w:fldChar w:fldCharType="end"/>
      </w:r>
      <w:r>
        <w:fldChar w:fldCharType="end"/>
      </w:r>
    </w:p>
    <w:p w14:paraId="4DC0A782">
      <w:pPr>
        <w:pStyle w:val="20"/>
        <w:tabs>
          <w:tab w:val="right" w:leader="dot" w:pos="8306"/>
          <w:tab w:val="clear" w:pos="540"/>
          <w:tab w:val="clear" w:pos="840"/>
          <w:tab w:val="clear" w:pos="8222"/>
          <w:tab w:val="clear" w:pos="8296"/>
        </w:tabs>
      </w:pPr>
      <w:r>
        <w:fldChar w:fldCharType="begin"/>
      </w:r>
      <w:r>
        <w:instrText xml:space="preserve"> HYPERLINK \l _Toc567 </w:instrText>
      </w:r>
      <w: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_Toc567 \h </w:instrText>
      </w:r>
      <w:r>
        <w:fldChar w:fldCharType="separate"/>
      </w:r>
      <w:r>
        <w:t>3</w:t>
      </w:r>
      <w:r>
        <w:fldChar w:fldCharType="end"/>
      </w:r>
      <w:r>
        <w:fldChar w:fldCharType="end"/>
      </w:r>
    </w:p>
    <w:p w14:paraId="52F06D74">
      <w:pPr>
        <w:pStyle w:val="19"/>
        <w:tabs>
          <w:tab w:val="right" w:leader="dot" w:pos="8306"/>
          <w:tab w:val="clear" w:pos="180"/>
          <w:tab w:val="clear" w:pos="420"/>
          <w:tab w:val="clear" w:pos="8222"/>
        </w:tabs>
      </w:pPr>
      <w:r>
        <w:fldChar w:fldCharType="begin"/>
      </w:r>
      <w:r>
        <w:instrText xml:space="preserve"> HYPERLINK \l _Toc29326 </w:instrText>
      </w:r>
      <w:r>
        <w:fldChar w:fldCharType="separate"/>
      </w:r>
      <w:r>
        <w:rPr>
          <w:rFonts w:hint="eastAsia" w:ascii="微软雅黑" w:hAnsi="微软雅黑" w:eastAsia="微软雅黑"/>
        </w:rPr>
        <w:t xml:space="preserve">2 </w:t>
      </w:r>
      <w:r>
        <w:rPr>
          <w:rFonts w:hint="eastAsia" w:ascii="微软雅黑" w:hAnsi="微软雅黑"/>
        </w:rPr>
        <w:t>计算</w:t>
      </w:r>
      <w:r>
        <w:rPr>
          <w:rFonts w:ascii="微软雅黑" w:hAnsi="微软雅黑"/>
        </w:rPr>
        <w:t>依据</w:t>
      </w:r>
      <w:r>
        <w:tab/>
      </w:r>
      <w:r>
        <w:fldChar w:fldCharType="begin"/>
      </w:r>
      <w:r>
        <w:instrText xml:space="preserve"> PAGEREF _Toc29326 \h </w:instrText>
      </w:r>
      <w:r>
        <w:fldChar w:fldCharType="separate"/>
      </w:r>
      <w:r>
        <w:t>4</w:t>
      </w:r>
      <w:r>
        <w:fldChar w:fldCharType="end"/>
      </w:r>
      <w:r>
        <w:fldChar w:fldCharType="end"/>
      </w:r>
    </w:p>
    <w:p w14:paraId="0C94FA96">
      <w:pPr>
        <w:pStyle w:val="19"/>
        <w:tabs>
          <w:tab w:val="right" w:leader="dot" w:pos="8306"/>
          <w:tab w:val="clear" w:pos="180"/>
          <w:tab w:val="clear" w:pos="420"/>
          <w:tab w:val="clear" w:pos="8222"/>
        </w:tabs>
      </w:pPr>
      <w:r>
        <w:fldChar w:fldCharType="begin"/>
      </w:r>
      <w:r>
        <w:instrText xml:space="preserve"> HYPERLINK \l _Toc8404 </w:instrText>
      </w:r>
      <w:r>
        <w:fldChar w:fldCharType="separate"/>
      </w:r>
      <w:r>
        <w:rPr>
          <w:rFonts w:hint="eastAsia" w:ascii="微软雅黑" w:hAnsi="微软雅黑" w:eastAsia="微软雅黑"/>
        </w:rPr>
        <w:t xml:space="preserve">3 </w:t>
      </w:r>
      <w:r>
        <w:rPr>
          <w:rFonts w:hint="eastAsia" w:ascii="微软雅黑" w:hAnsi="微软雅黑"/>
        </w:rPr>
        <w:t>参考</w:t>
      </w:r>
      <w:r>
        <w:rPr>
          <w:rFonts w:ascii="微软雅黑" w:hAnsi="微软雅黑"/>
        </w:rPr>
        <w:t>标准</w:t>
      </w:r>
      <w:r>
        <w:tab/>
      </w:r>
      <w:r>
        <w:fldChar w:fldCharType="begin"/>
      </w:r>
      <w:r>
        <w:instrText xml:space="preserve"> PAGEREF _Toc8404 \h </w:instrText>
      </w:r>
      <w:r>
        <w:fldChar w:fldCharType="separate"/>
      </w:r>
      <w:r>
        <w:t>5</w:t>
      </w:r>
      <w:r>
        <w:fldChar w:fldCharType="end"/>
      </w:r>
      <w:r>
        <w:fldChar w:fldCharType="end"/>
      </w:r>
    </w:p>
    <w:p w14:paraId="60E0450F">
      <w:pPr>
        <w:pStyle w:val="19"/>
        <w:tabs>
          <w:tab w:val="right" w:leader="dot" w:pos="8306"/>
          <w:tab w:val="clear" w:pos="180"/>
          <w:tab w:val="clear" w:pos="420"/>
          <w:tab w:val="clear" w:pos="8222"/>
        </w:tabs>
      </w:pPr>
      <w:r>
        <w:fldChar w:fldCharType="begin"/>
      </w:r>
      <w:r>
        <w:instrText xml:space="preserve"> HYPERLINK \l _Toc11788 </w:instrText>
      </w:r>
      <w:r>
        <w:fldChar w:fldCharType="separate"/>
      </w:r>
      <w:r>
        <w:rPr>
          <w:rFonts w:hint="eastAsia" w:ascii="微软雅黑" w:hAnsi="微软雅黑" w:eastAsia="微软雅黑"/>
        </w:rPr>
        <w:t xml:space="preserve">4 </w:t>
      </w:r>
      <w:r>
        <w:rPr>
          <w:rFonts w:hint="eastAsia" w:ascii="微软雅黑" w:hAnsi="微软雅黑"/>
        </w:rPr>
        <w:t>计算原理</w:t>
      </w:r>
      <w:r>
        <w:tab/>
      </w:r>
      <w:r>
        <w:fldChar w:fldCharType="begin"/>
      </w:r>
      <w:r>
        <w:instrText xml:space="preserve"> PAGEREF _Toc11788 \h </w:instrText>
      </w:r>
      <w:r>
        <w:fldChar w:fldCharType="separate"/>
      </w:r>
      <w:r>
        <w:t>5</w:t>
      </w:r>
      <w:r>
        <w:fldChar w:fldCharType="end"/>
      </w:r>
      <w:r>
        <w:fldChar w:fldCharType="end"/>
      </w:r>
    </w:p>
    <w:p w14:paraId="281F3B02">
      <w:pPr>
        <w:pStyle w:val="20"/>
        <w:tabs>
          <w:tab w:val="right" w:leader="dot" w:pos="8306"/>
          <w:tab w:val="clear" w:pos="540"/>
          <w:tab w:val="clear" w:pos="840"/>
          <w:tab w:val="clear" w:pos="8222"/>
          <w:tab w:val="clear" w:pos="8296"/>
        </w:tabs>
      </w:pPr>
      <w:r>
        <w:fldChar w:fldCharType="begin"/>
      </w:r>
      <w:r>
        <w:instrText xml:space="preserve"> HYPERLINK \l _Toc15479 </w:instrText>
      </w:r>
      <w: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_Toc15479 \h </w:instrText>
      </w:r>
      <w:r>
        <w:fldChar w:fldCharType="separate"/>
      </w:r>
      <w:r>
        <w:t>5</w:t>
      </w:r>
      <w:r>
        <w:fldChar w:fldCharType="end"/>
      </w:r>
      <w:r>
        <w:fldChar w:fldCharType="end"/>
      </w:r>
    </w:p>
    <w:p w14:paraId="48C8E2DD">
      <w:pPr>
        <w:pStyle w:val="20"/>
        <w:tabs>
          <w:tab w:val="right" w:leader="dot" w:pos="8306"/>
          <w:tab w:val="clear" w:pos="540"/>
          <w:tab w:val="clear" w:pos="840"/>
          <w:tab w:val="clear" w:pos="8222"/>
          <w:tab w:val="clear" w:pos="8296"/>
        </w:tabs>
      </w:pPr>
      <w:r>
        <w:fldChar w:fldCharType="begin"/>
      </w:r>
      <w:r>
        <w:instrText xml:space="preserve"> HYPERLINK \l _Toc13422 </w:instrText>
      </w:r>
      <w: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_Toc13422 \h </w:instrText>
      </w:r>
      <w:r>
        <w:fldChar w:fldCharType="separate"/>
      </w:r>
      <w:r>
        <w:t>6</w:t>
      </w:r>
      <w:r>
        <w:fldChar w:fldCharType="end"/>
      </w:r>
      <w:r>
        <w:fldChar w:fldCharType="end"/>
      </w:r>
    </w:p>
    <w:p w14:paraId="6753D4C7">
      <w:pPr>
        <w:pStyle w:val="20"/>
        <w:tabs>
          <w:tab w:val="right" w:leader="dot" w:pos="8306"/>
          <w:tab w:val="clear" w:pos="540"/>
          <w:tab w:val="clear" w:pos="840"/>
          <w:tab w:val="clear" w:pos="8222"/>
          <w:tab w:val="clear" w:pos="8296"/>
        </w:tabs>
      </w:pPr>
      <w:r>
        <w:fldChar w:fldCharType="begin"/>
      </w:r>
      <w:r>
        <w:instrText xml:space="preserve"> HYPERLINK \l _Toc21138 </w:instrText>
      </w:r>
      <w: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_Toc21138 \h </w:instrText>
      </w:r>
      <w:r>
        <w:fldChar w:fldCharType="separate"/>
      </w:r>
      <w:r>
        <w:t>8</w:t>
      </w:r>
      <w:r>
        <w:fldChar w:fldCharType="end"/>
      </w:r>
      <w:r>
        <w:fldChar w:fldCharType="end"/>
      </w:r>
    </w:p>
    <w:p w14:paraId="3BEC7929">
      <w:pPr>
        <w:pStyle w:val="20"/>
        <w:tabs>
          <w:tab w:val="right" w:leader="dot" w:pos="8306"/>
          <w:tab w:val="clear" w:pos="540"/>
          <w:tab w:val="clear" w:pos="840"/>
          <w:tab w:val="clear" w:pos="8222"/>
          <w:tab w:val="clear" w:pos="8296"/>
        </w:tabs>
      </w:pPr>
      <w:r>
        <w:fldChar w:fldCharType="begin"/>
      </w:r>
      <w:r>
        <w:instrText xml:space="preserve"> HYPERLINK \l _Toc22272 </w:instrText>
      </w:r>
      <w: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_Toc22272 \h </w:instrText>
      </w:r>
      <w:r>
        <w:fldChar w:fldCharType="separate"/>
      </w:r>
      <w:r>
        <w:t>10</w:t>
      </w:r>
      <w:r>
        <w:fldChar w:fldCharType="end"/>
      </w:r>
      <w:r>
        <w:fldChar w:fldCharType="end"/>
      </w:r>
    </w:p>
    <w:p w14:paraId="2E3F20CE">
      <w:pPr>
        <w:pStyle w:val="20"/>
        <w:tabs>
          <w:tab w:val="right" w:leader="dot" w:pos="8306"/>
          <w:tab w:val="clear" w:pos="540"/>
          <w:tab w:val="clear" w:pos="840"/>
          <w:tab w:val="clear" w:pos="8222"/>
          <w:tab w:val="clear" w:pos="8296"/>
        </w:tabs>
      </w:pPr>
      <w:r>
        <w:fldChar w:fldCharType="begin"/>
      </w:r>
      <w:r>
        <w:instrText xml:space="preserve"> HYPERLINK \l _Toc6746 </w:instrText>
      </w:r>
      <w: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_Toc6746 \h </w:instrText>
      </w:r>
      <w:r>
        <w:fldChar w:fldCharType="separate"/>
      </w:r>
      <w:r>
        <w:t>10</w:t>
      </w:r>
      <w:r>
        <w:fldChar w:fldCharType="end"/>
      </w:r>
      <w:r>
        <w:fldChar w:fldCharType="end"/>
      </w:r>
    </w:p>
    <w:p w14:paraId="4D301907">
      <w:pPr>
        <w:pStyle w:val="20"/>
        <w:tabs>
          <w:tab w:val="right" w:leader="dot" w:pos="8306"/>
          <w:tab w:val="clear" w:pos="540"/>
          <w:tab w:val="clear" w:pos="840"/>
          <w:tab w:val="clear" w:pos="8222"/>
          <w:tab w:val="clear" w:pos="8296"/>
        </w:tabs>
      </w:pPr>
      <w:r>
        <w:fldChar w:fldCharType="begin"/>
      </w:r>
      <w:r>
        <w:instrText xml:space="preserve"> HYPERLINK \l _Toc22225 </w:instrText>
      </w:r>
      <w: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_Toc22225 \h </w:instrText>
      </w:r>
      <w:r>
        <w:fldChar w:fldCharType="separate"/>
      </w:r>
      <w:r>
        <w:t>11</w:t>
      </w:r>
      <w:r>
        <w:fldChar w:fldCharType="end"/>
      </w:r>
      <w:r>
        <w:fldChar w:fldCharType="end"/>
      </w:r>
    </w:p>
    <w:p w14:paraId="6BE31C3A">
      <w:pPr>
        <w:pStyle w:val="19"/>
        <w:tabs>
          <w:tab w:val="right" w:leader="dot" w:pos="8306"/>
          <w:tab w:val="clear" w:pos="180"/>
          <w:tab w:val="clear" w:pos="420"/>
          <w:tab w:val="clear" w:pos="8222"/>
        </w:tabs>
      </w:pPr>
      <w:r>
        <w:fldChar w:fldCharType="begin"/>
      </w:r>
      <w:r>
        <w:instrText xml:space="preserve"> HYPERLINK \l _Toc25737 </w:instrText>
      </w:r>
      <w:r>
        <w:fldChar w:fldCharType="separate"/>
      </w:r>
      <w:r>
        <w:rPr>
          <w:rFonts w:hint="eastAsia" w:ascii="微软雅黑" w:hAnsi="微软雅黑" w:eastAsia="微软雅黑"/>
        </w:rPr>
        <w:t xml:space="preserve">5 </w:t>
      </w:r>
      <w:r>
        <w:rPr>
          <w:rFonts w:hint="eastAsia" w:ascii="微软雅黑" w:hAnsi="微软雅黑"/>
        </w:rPr>
        <w:t>结果</w:t>
      </w:r>
      <w:r>
        <w:rPr>
          <w:rFonts w:ascii="微软雅黑" w:hAnsi="微软雅黑"/>
        </w:rPr>
        <w:t>分析</w:t>
      </w:r>
      <w:r>
        <w:tab/>
      </w:r>
      <w:r>
        <w:fldChar w:fldCharType="begin"/>
      </w:r>
      <w:r>
        <w:instrText xml:space="preserve"> PAGEREF _Toc25737 \h </w:instrText>
      </w:r>
      <w:r>
        <w:fldChar w:fldCharType="separate"/>
      </w:r>
      <w:r>
        <w:t>12</w:t>
      </w:r>
      <w:r>
        <w:fldChar w:fldCharType="end"/>
      </w:r>
      <w:r>
        <w:fldChar w:fldCharType="end"/>
      </w:r>
    </w:p>
    <w:p w14:paraId="5C82D966">
      <w:pPr>
        <w:pStyle w:val="20"/>
        <w:tabs>
          <w:tab w:val="right" w:leader="dot" w:pos="8306"/>
          <w:tab w:val="clear" w:pos="540"/>
          <w:tab w:val="clear" w:pos="840"/>
          <w:tab w:val="clear" w:pos="8222"/>
          <w:tab w:val="clear" w:pos="8296"/>
        </w:tabs>
      </w:pPr>
      <w:r>
        <w:fldChar w:fldCharType="begin"/>
      </w:r>
      <w:r>
        <w:instrText xml:space="preserve"> HYPERLINK \l _Toc11766 </w:instrText>
      </w:r>
      <w:r>
        <w:fldChar w:fldCharType="separate"/>
      </w:r>
      <w:r>
        <w:rPr>
          <w:rFonts w:hint="eastAsia" w:ascii="微软雅黑" w:hAnsi="微软雅黑" w:eastAsia="微软雅黑"/>
          <w:szCs w:val="21"/>
          <w:lang w:val="en-GB"/>
        </w:rPr>
        <w:t xml:space="preserve">5.1 </w:t>
      </w:r>
      <w:r>
        <w:rPr>
          <w:rFonts w:hint="eastAsia"/>
          <w:szCs w:val="21"/>
        </w:rPr>
        <w:t>工况</w:t>
      </w:r>
      <w:r>
        <w:rPr>
          <w:szCs w:val="21"/>
        </w:rPr>
        <w:t>表</w:t>
      </w:r>
      <w:r>
        <w:tab/>
      </w:r>
      <w:r>
        <w:fldChar w:fldCharType="begin"/>
      </w:r>
      <w:r>
        <w:instrText xml:space="preserve"> PAGEREF _Toc11766 \h </w:instrText>
      </w:r>
      <w:r>
        <w:fldChar w:fldCharType="separate"/>
      </w:r>
      <w:r>
        <w:t>12</w:t>
      </w:r>
      <w:r>
        <w:fldChar w:fldCharType="end"/>
      </w:r>
      <w:r>
        <w:fldChar w:fldCharType="end"/>
      </w:r>
    </w:p>
    <w:p w14:paraId="02FBE1C2">
      <w:pPr>
        <w:pStyle w:val="20"/>
        <w:tabs>
          <w:tab w:val="right" w:leader="dot" w:pos="8306"/>
          <w:tab w:val="clear" w:pos="540"/>
          <w:tab w:val="clear" w:pos="840"/>
          <w:tab w:val="clear" w:pos="8222"/>
          <w:tab w:val="clear" w:pos="8296"/>
        </w:tabs>
      </w:pPr>
      <w:r>
        <w:fldChar w:fldCharType="begin"/>
      </w:r>
      <w:r>
        <w:instrText xml:space="preserve"> HYPERLINK \l _Toc1568 </w:instrText>
      </w:r>
      <w:r>
        <w:fldChar w:fldCharType="separate"/>
      </w:r>
      <w:r>
        <w:rPr>
          <w:rFonts w:hint="eastAsia" w:ascii="微软雅黑" w:hAnsi="微软雅黑" w:eastAsia="微软雅黑"/>
          <w:lang w:val="en-GB"/>
        </w:rPr>
        <w:t xml:space="preserve">5.2 </w:t>
      </w:r>
      <w:r>
        <w:rPr>
          <w:rFonts w:hint="eastAsia"/>
        </w:rPr>
        <w:t>冬季工况</w:t>
      </w:r>
      <w:r>
        <w:tab/>
      </w:r>
      <w:r>
        <w:fldChar w:fldCharType="begin"/>
      </w:r>
      <w:r>
        <w:instrText xml:space="preserve"> PAGEREF _Toc1568 \h </w:instrText>
      </w:r>
      <w:r>
        <w:fldChar w:fldCharType="separate"/>
      </w:r>
      <w:r>
        <w:t>12</w:t>
      </w:r>
      <w:r>
        <w:fldChar w:fldCharType="end"/>
      </w:r>
      <w:r>
        <w:fldChar w:fldCharType="end"/>
      </w:r>
    </w:p>
    <w:p w14:paraId="52B8D7CD">
      <w:pPr>
        <w:pStyle w:val="19"/>
        <w:tabs>
          <w:tab w:val="right" w:leader="dot" w:pos="8306"/>
          <w:tab w:val="clear" w:pos="180"/>
          <w:tab w:val="clear" w:pos="420"/>
          <w:tab w:val="clear" w:pos="8222"/>
        </w:tabs>
      </w:pPr>
      <w:r>
        <w:fldChar w:fldCharType="begin"/>
      </w:r>
      <w:r>
        <w:instrText xml:space="preserve"> HYPERLINK \l _Toc31682 </w:instrText>
      </w:r>
      <w: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_Toc31682 \h </w:instrText>
      </w:r>
      <w:r>
        <w:fldChar w:fldCharType="separate"/>
      </w:r>
      <w:r>
        <w:t>17</w:t>
      </w:r>
      <w:r>
        <w:fldChar w:fldCharType="end"/>
      </w:r>
      <w:r>
        <w:fldChar w:fldCharType="end"/>
      </w:r>
    </w:p>
    <w:p w14:paraId="415AE611">
      <w:pPr>
        <w:pStyle w:val="20"/>
        <w:tabs>
          <w:tab w:val="right" w:leader="dot" w:pos="8306"/>
          <w:tab w:val="clear" w:pos="540"/>
          <w:tab w:val="clear" w:pos="840"/>
          <w:tab w:val="clear" w:pos="8222"/>
          <w:tab w:val="clear" w:pos="8296"/>
        </w:tabs>
      </w:pPr>
      <w:r>
        <w:fldChar w:fldCharType="begin"/>
      </w:r>
      <w:r>
        <w:instrText xml:space="preserve"> HYPERLINK \l _Toc3628 </w:instrText>
      </w:r>
      <w:r>
        <w:fldChar w:fldCharType="separate"/>
      </w:r>
      <w:r>
        <w:rPr>
          <w:rFonts w:hint="eastAsia" w:ascii="微软雅黑" w:hAnsi="微软雅黑" w:eastAsia="微软雅黑"/>
          <w:lang w:val="en-GB"/>
        </w:rPr>
        <w:t xml:space="preserve">6.1 </w:t>
      </w:r>
      <w:r>
        <w:rPr>
          <w:rFonts w:hint="eastAsia"/>
        </w:rPr>
        <w:t>冬季工况达标判断</w:t>
      </w:r>
      <w:r>
        <w:tab/>
      </w:r>
      <w:r>
        <w:fldChar w:fldCharType="begin"/>
      </w:r>
      <w:r>
        <w:instrText xml:space="preserve"> PAGEREF _Toc3628 \h </w:instrText>
      </w:r>
      <w:r>
        <w:fldChar w:fldCharType="separate"/>
      </w:r>
      <w:r>
        <w:t>17</w:t>
      </w:r>
      <w:r>
        <w:fldChar w:fldCharType="end"/>
      </w:r>
      <w:r>
        <w:fldChar w:fldCharType="end"/>
      </w:r>
    </w:p>
    <w:p w14:paraId="059151CB">
      <w:pPr>
        <w:pStyle w:val="19"/>
        <w:tabs>
          <w:tab w:val="right" w:leader="dot" w:pos="8306"/>
          <w:tab w:val="clear" w:pos="180"/>
          <w:tab w:val="clear" w:pos="420"/>
          <w:tab w:val="clear" w:pos="8222"/>
        </w:tabs>
      </w:pPr>
      <w:r>
        <w:fldChar w:fldCharType="begin"/>
      </w:r>
      <w:r>
        <w:instrText xml:space="preserve"> HYPERLINK \l _Toc29675 </w:instrText>
      </w:r>
      <w:r>
        <w:fldChar w:fldCharType="separate"/>
      </w:r>
      <w:r>
        <w:rPr>
          <w:rFonts w:hint="eastAsia" w:ascii="微软雅黑" w:hAnsi="微软雅黑" w:eastAsia="微软雅黑"/>
        </w:rPr>
        <w:t xml:space="preserve">7 </w:t>
      </w:r>
      <w:r>
        <w:rPr>
          <w:rFonts w:hint="eastAsia"/>
        </w:rPr>
        <w:t>附录</w:t>
      </w:r>
      <w:r>
        <w:tab/>
      </w:r>
      <w:r>
        <w:fldChar w:fldCharType="begin"/>
      </w:r>
      <w:r>
        <w:instrText xml:space="preserve"> PAGEREF _Toc29675 \h </w:instrText>
      </w:r>
      <w:r>
        <w:fldChar w:fldCharType="separate"/>
      </w:r>
      <w:r>
        <w:t>17</w:t>
      </w:r>
      <w:r>
        <w:fldChar w:fldCharType="end"/>
      </w:r>
      <w:r>
        <w:fldChar w:fldCharType="end"/>
      </w:r>
    </w:p>
    <w:p w14:paraId="2194193D">
      <w:pPr>
        <w:pStyle w:val="20"/>
        <w:tabs>
          <w:tab w:val="right" w:leader="dot" w:pos="8306"/>
          <w:tab w:val="clear" w:pos="540"/>
          <w:tab w:val="clear" w:pos="840"/>
          <w:tab w:val="clear" w:pos="8222"/>
          <w:tab w:val="clear" w:pos="8296"/>
        </w:tabs>
      </w:pPr>
      <w:r>
        <w:fldChar w:fldCharType="begin"/>
      </w:r>
      <w:r>
        <w:instrText xml:space="preserve"> HYPERLINK \l _Toc18152 </w:instrText>
      </w:r>
      <w:r>
        <w:fldChar w:fldCharType="separate"/>
      </w:r>
      <w:r>
        <w:rPr>
          <w:rFonts w:hint="eastAsia" w:ascii="微软雅黑" w:hAnsi="微软雅黑" w:eastAsia="微软雅黑"/>
          <w:lang w:val="en-GB"/>
        </w:rPr>
        <w:t xml:space="preserve">7.1 </w:t>
      </w:r>
      <w:r>
        <w:rPr>
          <w:rFonts w:hint="eastAsia"/>
        </w:rPr>
        <w:t>参评建筑迎背风面窗平均风压差表</w:t>
      </w:r>
      <w:r>
        <w:tab/>
      </w:r>
      <w:r>
        <w:fldChar w:fldCharType="begin"/>
      </w:r>
      <w:r>
        <w:instrText xml:space="preserve"> PAGEREF _Toc18152 \h </w:instrText>
      </w:r>
      <w:r>
        <w:fldChar w:fldCharType="separate"/>
      </w:r>
      <w:r>
        <w:t>17</w:t>
      </w:r>
      <w:r>
        <w:fldChar w:fldCharType="end"/>
      </w:r>
      <w:r>
        <w:fldChar w:fldCharType="end"/>
      </w:r>
    </w:p>
    <w:p w14:paraId="6606F55D">
      <w:pPr>
        <w:pStyle w:val="20"/>
        <w:tabs>
          <w:tab w:val="right" w:leader="dot" w:pos="8306"/>
          <w:tab w:val="clear" w:pos="540"/>
          <w:tab w:val="clear" w:pos="840"/>
          <w:tab w:val="clear" w:pos="8222"/>
          <w:tab w:val="clear" w:pos="8296"/>
        </w:tabs>
      </w:pPr>
      <w:r>
        <w:fldChar w:fldCharType="begin"/>
      </w:r>
      <w:r>
        <w:instrText xml:space="preserve"> HYPERLINK \l _Toc28598 </w:instrText>
      </w:r>
      <w:r>
        <w:fldChar w:fldCharType="separate"/>
      </w:r>
      <w:r>
        <w:rPr>
          <w:rFonts w:hint="eastAsia" w:ascii="微软雅黑" w:hAnsi="微软雅黑" w:eastAsia="微软雅黑"/>
          <w:lang w:val="en-GB"/>
        </w:rPr>
        <w:t xml:space="preserve">7.2 </w:t>
      </w:r>
      <w:r>
        <w:rPr>
          <w:rFonts w:hint="eastAsia"/>
        </w:rPr>
        <w:t>不参评建筑迎背风面窗平均风压差表</w:t>
      </w:r>
      <w:r>
        <w:tab/>
      </w:r>
      <w:r>
        <w:fldChar w:fldCharType="begin"/>
      </w:r>
      <w:r>
        <w:instrText xml:space="preserve"> PAGEREF _Toc28598 \h </w:instrText>
      </w:r>
      <w:r>
        <w:fldChar w:fldCharType="separate"/>
      </w:r>
      <w:r>
        <w:t>18</w:t>
      </w:r>
      <w:r>
        <w:fldChar w:fldCharType="end"/>
      </w:r>
      <w:r>
        <w:fldChar w:fldCharType="end"/>
      </w:r>
    </w:p>
    <w:p w14:paraId="3477A396">
      <w:pPr>
        <w:pStyle w:val="19"/>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fldChar w:fldCharType="end"/>
      </w:r>
      <w:bookmarkEnd w:id="11"/>
    </w:p>
    <w:p w14:paraId="4666417A">
      <w:pPr>
        <w:pStyle w:val="2"/>
        <w:rPr>
          <w:rFonts w:ascii="微软雅黑" w:hAnsi="微软雅黑"/>
        </w:rPr>
      </w:pPr>
      <w:bookmarkStart w:id="12" w:name="_Toc452108759"/>
      <w:bookmarkStart w:id="13" w:name="_Toc22122"/>
      <w:r>
        <w:rPr>
          <w:rFonts w:hint="eastAsia" w:ascii="微软雅黑" w:hAnsi="微软雅黑"/>
        </w:rPr>
        <w:t>项目概况</w:t>
      </w:r>
      <w:bookmarkEnd w:id="12"/>
      <w:bookmarkEnd w:id="13"/>
    </w:p>
    <w:p w14:paraId="5164B055">
      <w:pPr>
        <w:ind w:firstLine="424" w:firstLineChars="202"/>
        <w:rPr>
          <w:lang w:val="en-US"/>
        </w:rPr>
      </w:pPr>
      <w:bookmarkStart w:id="14" w:name="项目概况"/>
      <w:bookmarkEnd w:id="14"/>
    </w:p>
    <w:p w14:paraId="0E7B596F">
      <w:pPr>
        <w:pStyle w:val="3"/>
        <w:ind w:firstLine="420"/>
        <w:rPr>
          <w:rFonts w:ascii="微软雅黑" w:hAnsi="微软雅黑" w:eastAsia="微软雅黑"/>
          <w:lang w:val="en-US"/>
        </w:rPr>
      </w:pPr>
    </w:p>
    <w:p w14:paraId="598A6714">
      <w:pPr>
        <w:pStyle w:val="4"/>
      </w:pPr>
      <w:bookmarkStart w:id="15" w:name="_Toc452108760"/>
      <w:bookmarkStart w:id="16" w:name="_Toc12162"/>
      <w:r>
        <w:rPr>
          <w:rFonts w:hint="eastAsia"/>
        </w:rPr>
        <w:t>总</w:t>
      </w:r>
      <w:r>
        <w:t>平面图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4C25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5DBEECC3">
            <w:pPr>
              <w:pStyle w:val="3"/>
              <w:spacing w:line="240" w:lineRule="auto"/>
              <w:ind w:firstLine="0" w:firstLineChars="0"/>
              <w:jc w:val="center"/>
              <w:rPr>
                <w:rFonts w:ascii="微软雅黑" w:hAnsi="微软雅黑" w:eastAsia="微软雅黑"/>
                <w:lang w:val="en-US"/>
              </w:rPr>
            </w:pPr>
          </w:p>
        </w:tc>
        <w:tc>
          <w:tcPr>
            <w:tcW w:w="1185" w:type="dxa"/>
            <w:vAlign w:val="center"/>
          </w:tcPr>
          <w:p w14:paraId="079EFD5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44DDD15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77641EF0">
            <w:pPr>
              <w:pStyle w:val="3"/>
              <w:spacing w:line="220" w:lineRule="exact"/>
              <w:ind w:firstLine="0" w:firstLineChars="0"/>
              <w:jc w:val="center"/>
              <w:rPr>
                <w:rFonts w:ascii="微软雅黑" w:hAnsi="微软雅黑" w:eastAsia="微软雅黑"/>
                <w:lang w:val="en-US"/>
              </w:rPr>
            </w:pPr>
          </w:p>
        </w:tc>
        <w:tc>
          <w:tcPr>
            <w:tcW w:w="1407" w:type="dxa"/>
            <w:vAlign w:val="center"/>
          </w:tcPr>
          <w:p w14:paraId="01D99FB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1DA008A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3B3E0754">
            <w:pPr>
              <w:pStyle w:val="3"/>
              <w:spacing w:line="240" w:lineRule="auto"/>
              <w:ind w:firstLine="0" w:firstLineChars="0"/>
              <w:jc w:val="center"/>
              <w:rPr>
                <w:rFonts w:ascii="微软雅黑" w:hAnsi="微软雅黑" w:eastAsia="微软雅黑"/>
                <w:lang w:val="en-US"/>
              </w:rPr>
            </w:pPr>
          </w:p>
        </w:tc>
        <w:tc>
          <w:tcPr>
            <w:tcW w:w="1408" w:type="dxa"/>
            <w:vAlign w:val="center"/>
          </w:tcPr>
          <w:p w14:paraId="22CD0A4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783F0CDD">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7D1FC4F1">
            <w:pPr>
              <w:pStyle w:val="3"/>
              <w:spacing w:line="240" w:lineRule="auto"/>
              <w:ind w:firstLine="0" w:firstLineChars="0"/>
              <w:jc w:val="center"/>
              <w:rPr>
                <w:rFonts w:ascii="微软雅黑" w:hAnsi="微软雅黑" w:eastAsia="微软雅黑"/>
                <w:lang w:val="en-US"/>
              </w:rPr>
            </w:pPr>
          </w:p>
        </w:tc>
        <w:tc>
          <w:tcPr>
            <w:tcW w:w="1266" w:type="dxa"/>
            <w:vAlign w:val="center"/>
          </w:tcPr>
          <w:p w14:paraId="5140D6B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1123A2FF">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6701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1AC49B25">
            <w:pPr>
              <w:pStyle w:val="3"/>
              <w:spacing w:line="240" w:lineRule="auto"/>
              <w:ind w:firstLine="0" w:firstLineChars="0"/>
              <w:jc w:val="center"/>
              <w:rPr>
                <w:rFonts w:ascii="微软雅黑" w:hAnsi="微软雅黑" w:eastAsia="微软雅黑"/>
                <w:lang w:val="en-US"/>
              </w:rPr>
            </w:pPr>
          </w:p>
        </w:tc>
        <w:tc>
          <w:tcPr>
            <w:tcW w:w="1185" w:type="dxa"/>
            <w:vAlign w:val="center"/>
          </w:tcPr>
          <w:p w14:paraId="4DE448D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5E01387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0CFDFE16">
            <w:pPr>
              <w:pStyle w:val="3"/>
              <w:spacing w:line="220" w:lineRule="exact"/>
              <w:ind w:firstLine="0" w:firstLineChars="0"/>
              <w:jc w:val="center"/>
              <w:rPr>
                <w:rFonts w:ascii="微软雅黑" w:hAnsi="微软雅黑" w:eastAsia="微软雅黑"/>
                <w:lang w:val="en-US"/>
              </w:rPr>
            </w:pPr>
          </w:p>
        </w:tc>
        <w:tc>
          <w:tcPr>
            <w:tcW w:w="1407" w:type="dxa"/>
            <w:vAlign w:val="center"/>
          </w:tcPr>
          <w:p w14:paraId="4DC3FE8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2F55C9A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7D73DD56">
            <w:pPr>
              <w:pStyle w:val="3"/>
              <w:spacing w:line="240" w:lineRule="auto"/>
              <w:ind w:firstLine="0" w:firstLineChars="0"/>
              <w:jc w:val="center"/>
              <w:rPr>
                <w:rFonts w:ascii="微软雅黑" w:hAnsi="微软雅黑" w:eastAsia="微软雅黑"/>
                <w:lang w:val="en-US"/>
              </w:rPr>
            </w:pPr>
          </w:p>
        </w:tc>
        <w:tc>
          <w:tcPr>
            <w:tcW w:w="1408" w:type="dxa"/>
            <w:vAlign w:val="center"/>
          </w:tcPr>
          <w:p w14:paraId="7B433FF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375D65C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2D3BB071">
            <w:pPr>
              <w:pStyle w:val="3"/>
              <w:spacing w:line="240" w:lineRule="auto"/>
              <w:ind w:firstLine="0" w:firstLineChars="0"/>
              <w:jc w:val="center"/>
              <w:rPr>
                <w:rFonts w:ascii="微软雅黑" w:hAnsi="微软雅黑" w:eastAsia="微软雅黑"/>
                <w:lang w:val="en-US"/>
              </w:rPr>
            </w:pPr>
          </w:p>
        </w:tc>
        <w:tc>
          <w:tcPr>
            <w:tcW w:w="1266" w:type="dxa"/>
            <w:vAlign w:val="center"/>
          </w:tcPr>
          <w:p w14:paraId="781639BF">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725DE5EB">
      <w:pPr>
        <w:pStyle w:val="3"/>
        <w:ind w:firstLine="0" w:firstLineChars="0"/>
        <w:jc w:val="center"/>
        <w:rPr>
          <w:rFonts w:ascii="微软雅黑" w:hAnsi="微软雅黑" w:eastAsia="微软雅黑"/>
          <w:lang w:val="en-US"/>
        </w:rPr>
      </w:pPr>
    </w:p>
    <w:p w14:paraId="2618D31D">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4671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005E5638">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1.1</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总平面图</w:t>
      </w:r>
    </w:p>
    <w:p w14:paraId="2FDE8C80">
      <w:pPr>
        <w:pStyle w:val="3"/>
        <w:ind w:firstLine="420"/>
        <w:rPr>
          <w:rFonts w:ascii="微软雅黑" w:hAnsi="微软雅黑" w:eastAsia="微软雅黑"/>
          <w:lang w:val="en-US"/>
        </w:rPr>
      </w:pPr>
    </w:p>
    <w:p w14:paraId="098E27D2">
      <w:pPr>
        <w:pStyle w:val="4"/>
      </w:pPr>
      <w:bookmarkStart w:id="18" w:name="_Toc452108761"/>
      <w:bookmarkStart w:id="19" w:name="_Toc567"/>
      <w:r>
        <w:rPr>
          <w:rFonts w:hint="eastAsia"/>
        </w:rPr>
        <w:t>三</w:t>
      </w:r>
      <w:r>
        <w:t>维视图</w:t>
      </w:r>
      <w:bookmarkEnd w:id="18"/>
      <w:bookmarkEnd w:id="1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6CA2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7782C673">
            <w:pPr>
              <w:pStyle w:val="3"/>
              <w:spacing w:line="240" w:lineRule="auto"/>
              <w:ind w:firstLine="0" w:firstLineChars="0"/>
              <w:jc w:val="center"/>
              <w:rPr>
                <w:rFonts w:ascii="微软雅黑" w:hAnsi="微软雅黑" w:eastAsia="微软雅黑"/>
                <w:lang w:val="en-US"/>
              </w:rPr>
            </w:pPr>
          </w:p>
        </w:tc>
        <w:tc>
          <w:tcPr>
            <w:tcW w:w="1185" w:type="dxa"/>
            <w:vAlign w:val="center"/>
          </w:tcPr>
          <w:p w14:paraId="7F63747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55EBBD3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56738F6C">
            <w:pPr>
              <w:pStyle w:val="3"/>
              <w:spacing w:line="220" w:lineRule="exact"/>
              <w:ind w:firstLine="0" w:firstLineChars="0"/>
              <w:jc w:val="center"/>
              <w:rPr>
                <w:rFonts w:ascii="微软雅黑" w:hAnsi="微软雅黑" w:eastAsia="微软雅黑"/>
                <w:lang w:val="en-US"/>
              </w:rPr>
            </w:pPr>
          </w:p>
        </w:tc>
        <w:tc>
          <w:tcPr>
            <w:tcW w:w="1407" w:type="dxa"/>
            <w:vAlign w:val="center"/>
          </w:tcPr>
          <w:p w14:paraId="610CB3F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65E7BA0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527937A0">
            <w:pPr>
              <w:pStyle w:val="3"/>
              <w:spacing w:line="240" w:lineRule="auto"/>
              <w:ind w:firstLine="0" w:firstLineChars="0"/>
              <w:jc w:val="center"/>
              <w:rPr>
                <w:rFonts w:ascii="微软雅黑" w:hAnsi="微软雅黑" w:eastAsia="微软雅黑"/>
                <w:lang w:val="en-US"/>
              </w:rPr>
            </w:pPr>
          </w:p>
        </w:tc>
        <w:tc>
          <w:tcPr>
            <w:tcW w:w="1408" w:type="dxa"/>
            <w:vAlign w:val="center"/>
          </w:tcPr>
          <w:p w14:paraId="2A9D8E0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2C0E17AC">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1F705D49">
            <w:pPr>
              <w:pStyle w:val="3"/>
              <w:spacing w:line="240" w:lineRule="auto"/>
              <w:ind w:firstLine="0" w:firstLineChars="0"/>
              <w:jc w:val="center"/>
              <w:rPr>
                <w:rFonts w:ascii="微软雅黑" w:hAnsi="微软雅黑" w:eastAsia="微软雅黑"/>
                <w:lang w:val="en-US"/>
              </w:rPr>
            </w:pPr>
          </w:p>
        </w:tc>
        <w:tc>
          <w:tcPr>
            <w:tcW w:w="1266" w:type="dxa"/>
            <w:vAlign w:val="center"/>
          </w:tcPr>
          <w:p w14:paraId="2E89A8D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7DE26C88">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0A71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6745417D">
            <w:pPr>
              <w:pStyle w:val="3"/>
              <w:spacing w:line="240" w:lineRule="auto"/>
              <w:ind w:firstLine="0" w:firstLineChars="0"/>
              <w:jc w:val="center"/>
              <w:rPr>
                <w:rFonts w:ascii="微软雅黑" w:hAnsi="微软雅黑" w:eastAsia="微软雅黑"/>
                <w:lang w:val="en-US"/>
              </w:rPr>
            </w:pPr>
          </w:p>
        </w:tc>
        <w:tc>
          <w:tcPr>
            <w:tcW w:w="1185" w:type="dxa"/>
            <w:vAlign w:val="center"/>
          </w:tcPr>
          <w:p w14:paraId="68AAF78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34EDD5C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29877AD3">
            <w:pPr>
              <w:pStyle w:val="3"/>
              <w:spacing w:line="220" w:lineRule="exact"/>
              <w:ind w:firstLine="0" w:firstLineChars="0"/>
              <w:jc w:val="center"/>
              <w:rPr>
                <w:rFonts w:ascii="微软雅黑" w:hAnsi="微软雅黑" w:eastAsia="微软雅黑"/>
                <w:lang w:val="en-US"/>
              </w:rPr>
            </w:pPr>
          </w:p>
        </w:tc>
        <w:tc>
          <w:tcPr>
            <w:tcW w:w="1407" w:type="dxa"/>
            <w:vAlign w:val="center"/>
          </w:tcPr>
          <w:p w14:paraId="71848CB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10FF543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6DEA199F">
            <w:pPr>
              <w:pStyle w:val="3"/>
              <w:spacing w:line="240" w:lineRule="auto"/>
              <w:ind w:firstLine="0" w:firstLineChars="0"/>
              <w:jc w:val="center"/>
              <w:rPr>
                <w:rFonts w:ascii="微软雅黑" w:hAnsi="微软雅黑" w:eastAsia="微软雅黑"/>
                <w:lang w:val="en-US"/>
              </w:rPr>
            </w:pPr>
          </w:p>
        </w:tc>
        <w:tc>
          <w:tcPr>
            <w:tcW w:w="1408" w:type="dxa"/>
            <w:vAlign w:val="center"/>
          </w:tcPr>
          <w:p w14:paraId="6D5D334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5278DB6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0668644F">
            <w:pPr>
              <w:pStyle w:val="3"/>
              <w:spacing w:line="240" w:lineRule="auto"/>
              <w:ind w:firstLine="0" w:firstLineChars="0"/>
              <w:jc w:val="center"/>
              <w:rPr>
                <w:rFonts w:ascii="微软雅黑" w:hAnsi="微软雅黑" w:eastAsia="微软雅黑"/>
                <w:lang w:val="en-US"/>
              </w:rPr>
            </w:pPr>
          </w:p>
        </w:tc>
        <w:tc>
          <w:tcPr>
            <w:tcW w:w="1266" w:type="dxa"/>
            <w:vAlign w:val="center"/>
          </w:tcPr>
          <w:p w14:paraId="76BDAF0B">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092DCB78">
      <w:pPr>
        <w:pStyle w:val="3"/>
        <w:ind w:firstLine="0" w:firstLineChars="0"/>
        <w:jc w:val="center"/>
        <w:rPr>
          <w:rFonts w:ascii="微软雅黑" w:hAnsi="微软雅黑" w:eastAsia="微软雅黑"/>
          <w:lang w:val="en-US"/>
        </w:rPr>
      </w:pPr>
    </w:p>
    <w:p w14:paraId="1F4B79A9">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4766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1"/>
                    <a:stretch>
                      <a:fillRect/>
                    </a:stretch>
                  </pic:blipFill>
                  <pic:spPr>
                    <a:xfrm>
                      <a:off x="0" y="0"/>
                      <a:ext cx="5667375" cy="3476625"/>
                    </a:xfrm>
                    <a:prstGeom prst="rect">
                      <a:avLst/>
                    </a:prstGeom>
                  </pic:spPr>
                </pic:pic>
              </a:graphicData>
            </a:graphic>
          </wp:inline>
        </w:drawing>
      </w:r>
    </w:p>
    <w:p w14:paraId="28F34577">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三</w:t>
      </w:r>
      <w:r>
        <w:rPr>
          <w:rFonts w:ascii="微软雅黑" w:hAnsi="微软雅黑" w:eastAsia="微软雅黑"/>
        </w:rPr>
        <w:t>维</w:t>
      </w:r>
      <w:r>
        <w:rPr>
          <w:rFonts w:hint="eastAsia" w:ascii="微软雅黑" w:hAnsi="微软雅黑" w:eastAsia="微软雅黑"/>
        </w:rPr>
        <w:t>视图</w:t>
      </w:r>
    </w:p>
    <w:p w14:paraId="404E1244">
      <w:pPr>
        <w:pStyle w:val="3"/>
        <w:ind w:firstLine="0" w:firstLineChars="0"/>
        <w:rPr>
          <w:rFonts w:ascii="微软雅黑" w:hAnsi="微软雅黑" w:eastAsia="微软雅黑"/>
          <w:lang w:val="en-US"/>
        </w:rPr>
      </w:pPr>
    </w:p>
    <w:p w14:paraId="0D0DD797">
      <w:pPr>
        <w:pStyle w:val="2"/>
        <w:rPr>
          <w:rFonts w:ascii="微软雅黑" w:hAnsi="微软雅黑"/>
        </w:rPr>
      </w:pPr>
      <w:bookmarkStart w:id="21" w:name="TitleFormat"/>
      <w:bookmarkStart w:id="22" w:name="_Toc452108762"/>
      <w:bookmarkStart w:id="23" w:name="_Toc29326"/>
      <w:r>
        <w:rPr>
          <w:rFonts w:hint="eastAsia" w:ascii="微软雅黑" w:hAnsi="微软雅黑"/>
        </w:rPr>
        <w:t>计算</w:t>
      </w:r>
      <w:r>
        <w:rPr>
          <w:rFonts w:ascii="微软雅黑" w:hAnsi="微软雅黑"/>
        </w:rPr>
        <w:t>依据</w:t>
      </w:r>
      <w:bookmarkEnd w:id="21"/>
      <w:bookmarkEnd w:id="22"/>
      <w:bookmarkEnd w:id="23"/>
    </w:p>
    <w:p w14:paraId="619DBE87">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4B32F9A8">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bookmarkEnd w:id="24"/>
    </w:p>
    <w:p w14:paraId="02F6E20A">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62E3D4CC">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B7E69AD">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1DD8FA1A">
      <w:pPr>
        <w:pStyle w:val="2"/>
        <w:rPr>
          <w:rFonts w:ascii="微软雅黑" w:hAnsi="微软雅黑"/>
        </w:rPr>
      </w:pPr>
      <w:bookmarkStart w:id="25" w:name="_Toc452108763"/>
      <w:bookmarkStart w:id="26" w:name="_Toc8404"/>
      <w:r>
        <w:rPr>
          <w:rFonts w:hint="eastAsia" w:ascii="微软雅黑" w:hAnsi="微软雅黑"/>
        </w:rPr>
        <w:t>参考</w:t>
      </w:r>
      <w:r>
        <w:rPr>
          <w:rFonts w:ascii="微软雅黑" w:hAnsi="微软雅黑"/>
        </w:rPr>
        <w:t>标准</w:t>
      </w:r>
      <w:bookmarkEnd w:id="25"/>
      <w:bookmarkEnd w:id="26"/>
    </w:p>
    <w:p w14:paraId="63CCCA19">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3515F1ED">
      <w:pPr>
        <w:pStyle w:val="3"/>
        <w:ind w:firstLine="420"/>
        <w:rPr>
          <w:rFonts w:ascii="微软雅黑" w:hAnsi="微软雅黑" w:eastAsia="微软雅黑"/>
          <w:lang w:val="en-US"/>
        </w:rPr>
      </w:pPr>
      <w:bookmarkStart w:id="28" w:name="_Toc452108764"/>
      <w:bookmarkStart w:id="29" w:name="_Toc451698935"/>
      <w:bookmarkStart w:id="30" w:name="_Toc451436145"/>
      <w:r>
        <w:rPr>
          <w:rFonts w:ascii="微软雅黑" w:hAnsi="微软雅黑" w:eastAsia="微软雅黑"/>
          <w:lang w:val="en-US"/>
        </w:rPr>
        <w:t>8</w:t>
      </w:r>
      <w:r>
        <w:rPr>
          <w:rFonts w:hint="eastAsia" w:ascii="微软雅黑" w:hAnsi="微软雅黑" w:eastAsia="微软雅黑"/>
          <w:lang w:val="en-US"/>
        </w:rPr>
        <w:t>.2.</w:t>
      </w:r>
      <w:r>
        <w:rPr>
          <w:rFonts w:ascii="微软雅黑" w:hAnsi="微软雅黑" w:eastAsia="微软雅黑"/>
          <w:lang w:val="en-US"/>
        </w:rPr>
        <w:t>8</w:t>
      </w:r>
      <w:r>
        <w:rPr>
          <w:rFonts w:hint="eastAsia" w:ascii="微软雅黑" w:hAnsi="微软雅黑" w:eastAsia="微软雅黑"/>
          <w:lang w:val="en-US"/>
        </w:rPr>
        <w:t xml:space="preserve"> 场地内风环境有利于室外行走、活动舒适和建筑的自然通风，评价总分值为1</w:t>
      </w:r>
      <w:r>
        <w:rPr>
          <w:rFonts w:ascii="微软雅黑" w:hAnsi="微软雅黑" w:eastAsia="微软雅黑"/>
          <w:lang w:val="en-US"/>
        </w:rPr>
        <w:t>0</w:t>
      </w:r>
      <w:r>
        <w:rPr>
          <w:rFonts w:hint="eastAsia" w:ascii="微软雅黑" w:hAnsi="微软雅黑" w:eastAsia="微软雅黑"/>
          <w:lang w:val="en-US"/>
        </w:rPr>
        <w:t>分，并按下列规则分别评分并累计：</w:t>
      </w:r>
    </w:p>
    <w:p w14:paraId="4FE8DEE6">
      <w:pPr>
        <w:pStyle w:val="3"/>
        <w:ind w:firstLine="420"/>
        <w:rPr>
          <w:rFonts w:ascii="微软雅黑" w:hAnsi="微软雅黑" w:eastAsia="微软雅黑"/>
          <w:lang w:val="en-US"/>
        </w:rPr>
      </w:pPr>
      <w:r>
        <w:rPr>
          <w:rFonts w:hint="eastAsia" w:ascii="微软雅黑" w:hAnsi="微软雅黑" w:eastAsia="微软雅黑"/>
          <w:lang w:val="en-US"/>
        </w:rPr>
        <w:t>1  在冬季典型风速和风向条件下，按下列规则分别评分并累计：</w:t>
      </w:r>
    </w:p>
    <w:p w14:paraId="61C8275B">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w:t>
      </w:r>
      <w:r>
        <w:rPr>
          <w:rFonts w:ascii="微软雅黑" w:hAnsi="微软雅黑" w:eastAsia="微软雅黑"/>
          <w:lang w:val="en-US"/>
        </w:rPr>
        <w:t>高</w:t>
      </w:r>
      <w:r>
        <w:rPr>
          <w:rFonts w:hint="eastAsia" w:ascii="微软雅黑" w:hAnsi="微软雅黑" w:eastAsia="微软雅黑"/>
          <w:lang w:val="en-US"/>
        </w:rPr>
        <w:t>1.5m处风速小于5m/s，户外休息区、儿童娱乐区风速小于2m/s，且室外风速放大系数小于2，得</w:t>
      </w:r>
      <w:bookmarkStart w:id="31" w:name="参考标准冬季风速得分"/>
      <w:r>
        <w:rPr>
          <w:rFonts w:ascii="微软雅黑" w:hAnsi="微软雅黑" w:eastAsia="微软雅黑"/>
          <w:lang w:val="en-US"/>
        </w:rPr>
        <w:t>3</w:t>
      </w:r>
      <w:bookmarkEnd w:id="31"/>
      <w:r>
        <w:rPr>
          <w:rFonts w:hint="eastAsia" w:ascii="微软雅黑" w:hAnsi="微软雅黑" w:eastAsia="微软雅黑"/>
          <w:lang w:val="en-US"/>
        </w:rPr>
        <w:t>分；</w:t>
      </w:r>
    </w:p>
    <w:p w14:paraId="7DA91322">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）除迎风第一排建筑外，建筑迎风面与背风面表面风压差不大于5Pa，得</w:t>
      </w:r>
      <w:bookmarkStart w:id="32" w:name="参考标准冬季风压得分"/>
      <w:r>
        <w:rPr>
          <w:rFonts w:ascii="微软雅黑" w:hAnsi="微软雅黑" w:eastAsia="微软雅黑"/>
          <w:lang w:val="en-US"/>
        </w:rPr>
        <w:t>2</w:t>
      </w:r>
      <w:bookmarkEnd w:id="32"/>
      <w:r>
        <w:rPr>
          <w:rFonts w:hint="eastAsia" w:ascii="微软雅黑" w:hAnsi="微软雅黑" w:eastAsia="微软雅黑"/>
          <w:lang w:val="en-US"/>
        </w:rPr>
        <w:t>分。</w:t>
      </w:r>
    </w:p>
    <w:p w14:paraId="3C2F8DAC">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60469597">
      <w:pPr>
        <w:pStyle w:val="3"/>
        <w:ind w:firstLine="420"/>
        <w:rPr>
          <w:rFonts w:ascii="微软雅黑" w:hAnsi="微软雅黑" w:eastAsia="微软雅黑"/>
          <w:lang w:val="en-US"/>
        </w:rPr>
      </w:pPr>
      <w:r>
        <w:rPr>
          <w:rFonts w:ascii="微软雅黑" w:hAnsi="微软雅黑" w:eastAsia="微软雅黑"/>
          <w:lang w:val="en-US"/>
        </w:rPr>
        <w:t>1</w:t>
      </w:r>
      <w:r>
        <w:rPr>
          <w:rFonts w:hint="eastAsia" w:ascii="微软雅黑" w:hAnsi="微软雅黑" w:eastAsia="微软雅黑"/>
          <w:lang w:val="en-US"/>
        </w:rPr>
        <w:t>）场地内人活动区不出现涡旋或无风区，得</w:t>
      </w:r>
      <w:bookmarkStart w:id="33" w:name="参考标准夏季风速得分"/>
      <w:r>
        <w:rPr>
          <w:rFonts w:ascii="微软雅黑" w:hAnsi="微软雅黑" w:eastAsia="微软雅黑"/>
          <w:lang w:val="en-US"/>
        </w:rPr>
        <w:t>3</w:t>
      </w:r>
      <w:bookmarkEnd w:id="33"/>
      <w:r>
        <w:rPr>
          <w:rFonts w:hint="eastAsia" w:ascii="微软雅黑" w:hAnsi="微软雅黑" w:eastAsia="微软雅黑"/>
          <w:lang w:val="en-US"/>
        </w:rPr>
        <w:t>分；</w:t>
      </w:r>
    </w:p>
    <w:p w14:paraId="1F25A700">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）50%以上可开启外窗室内外表面的风压差大于0.5Pa，得</w:t>
      </w:r>
      <w:bookmarkStart w:id="34" w:name="参考标准夏季风压得分"/>
      <w:r>
        <w:rPr>
          <w:rFonts w:ascii="微软雅黑" w:hAnsi="微软雅黑" w:eastAsia="微软雅黑"/>
          <w:lang w:val="en-US"/>
        </w:rPr>
        <w:t>2</w:t>
      </w:r>
      <w:bookmarkEnd w:id="34"/>
      <w:r>
        <w:rPr>
          <w:rFonts w:hint="eastAsia" w:ascii="微软雅黑" w:hAnsi="微软雅黑" w:eastAsia="微软雅黑"/>
          <w:lang w:val="en-US"/>
        </w:rPr>
        <w:t>分。</w:t>
      </w:r>
    </w:p>
    <w:p w14:paraId="1AFEF0FB">
      <w:pPr>
        <w:pStyle w:val="2"/>
        <w:rPr>
          <w:rFonts w:ascii="微软雅黑" w:hAnsi="微软雅黑"/>
        </w:rPr>
      </w:pPr>
      <w:bookmarkStart w:id="35" w:name="_Toc11788"/>
      <w:r>
        <w:rPr>
          <w:rFonts w:hint="eastAsia" w:ascii="微软雅黑" w:hAnsi="微软雅黑"/>
        </w:rPr>
        <w:t>计算原理</w:t>
      </w:r>
      <w:bookmarkEnd w:id="28"/>
      <w:bookmarkEnd w:id="29"/>
      <w:bookmarkEnd w:id="35"/>
    </w:p>
    <w:p w14:paraId="1EA4C3BE">
      <w:pPr>
        <w:pStyle w:val="4"/>
        <w:numPr>
          <w:ilvl w:val="1"/>
          <w:numId w:val="3"/>
        </w:numPr>
      </w:pPr>
      <w:bookmarkStart w:id="36" w:name="_Toc509844740"/>
      <w:bookmarkStart w:id="37" w:name="_Toc15479"/>
      <w:bookmarkStart w:id="38" w:name="_Toc451698937"/>
      <w:bookmarkStart w:id="39" w:name="_Toc452108765"/>
      <w:r>
        <w:rPr>
          <w:rFonts w:hint="eastAsia"/>
        </w:rPr>
        <w:t>风场计算域</w:t>
      </w:r>
      <w:bookmarkEnd w:id="36"/>
      <w:bookmarkEnd w:id="37"/>
    </w:p>
    <w:p w14:paraId="21CDD856">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781C89EB">
      <w:pPr>
        <w:pStyle w:val="5"/>
        <w:numPr>
          <w:ilvl w:val="2"/>
          <w:numId w:val="4"/>
        </w:numPr>
      </w:pPr>
      <w:bookmarkStart w:id="40" w:name="季节1"/>
      <w:r>
        <w:rPr>
          <w:rFonts w:hint="eastAsia"/>
        </w:rPr>
        <w:t>冬季</w:t>
      </w:r>
      <w:bookmarkEnd w:id="40"/>
      <w:r>
        <w:rPr>
          <w:rFonts w:hint="eastAsia"/>
        </w:rPr>
        <w:t>工况风场计算域</w:t>
      </w:r>
    </w:p>
    <w:p w14:paraId="54050AEC">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1" w:name="季节2"/>
      <w:r>
        <w:rPr>
          <w:rFonts w:hint="eastAsia" w:ascii="微软雅黑" w:hAnsi="微软雅黑" w:eastAsia="微软雅黑"/>
          <w:sz w:val="18"/>
          <w:szCs w:val="18"/>
        </w:rPr>
        <w:t>冬季</w:t>
      </w:r>
      <w:bookmarkEnd w:id="41"/>
      <w:r>
        <w:rPr>
          <w:rFonts w:hint="eastAsia" w:ascii="微软雅黑" w:hAnsi="微软雅黑" w:eastAsia="微软雅黑"/>
          <w:sz w:val="18"/>
          <w:szCs w:val="18"/>
        </w:rPr>
        <w:t>工况风场计算域信息</w:t>
      </w:r>
    </w:p>
    <w:tbl>
      <w:tblPr>
        <w:tblStyle w:val="21"/>
        <w:tblW w:w="0" w:type="auto"/>
        <w:jc w:val="center"/>
        <w:tblLayout w:type="autofit"/>
        <w:tblCellMar>
          <w:top w:w="0" w:type="dxa"/>
          <w:left w:w="108" w:type="dxa"/>
          <w:bottom w:w="0" w:type="dxa"/>
          <w:right w:w="108" w:type="dxa"/>
        </w:tblCellMar>
      </w:tblPr>
      <w:tblGrid>
        <w:gridCol w:w="2765"/>
        <w:gridCol w:w="2765"/>
        <w:gridCol w:w="2766"/>
      </w:tblGrid>
      <w:tr w14:paraId="7C58ECE4">
        <w:tblPrEx>
          <w:tblCellMar>
            <w:top w:w="0" w:type="dxa"/>
            <w:left w:w="108" w:type="dxa"/>
            <w:bottom w:w="0" w:type="dxa"/>
            <w:right w:w="108" w:type="dxa"/>
          </w:tblCellMar>
        </w:tblPrEx>
        <w:trPr>
          <w:jc w:val="center"/>
        </w:trPr>
        <w:tc>
          <w:tcPr>
            <w:tcW w:w="2765" w:type="dxa"/>
          </w:tcPr>
          <w:p w14:paraId="2215BD39">
            <w:pPr>
              <w:jc w:val="center"/>
            </w:pPr>
            <w:r>
              <w:rPr>
                <w:rFonts w:hint="eastAsia"/>
              </w:rPr>
              <w:t>顺风方向尺寸（m）</w:t>
            </w:r>
          </w:p>
        </w:tc>
        <w:tc>
          <w:tcPr>
            <w:tcW w:w="2765" w:type="dxa"/>
          </w:tcPr>
          <w:p w14:paraId="5503D47B">
            <w:pPr>
              <w:jc w:val="center"/>
            </w:pPr>
            <w:r>
              <w:rPr>
                <w:rFonts w:hint="eastAsia"/>
              </w:rPr>
              <w:t>宽度方向尺寸（m）</w:t>
            </w:r>
          </w:p>
        </w:tc>
        <w:tc>
          <w:tcPr>
            <w:tcW w:w="2766" w:type="dxa"/>
          </w:tcPr>
          <w:p w14:paraId="7CD0477D">
            <w:pPr>
              <w:jc w:val="center"/>
            </w:pPr>
            <w:r>
              <w:rPr>
                <w:rFonts w:hint="eastAsia"/>
              </w:rPr>
              <w:t>高度方向尺寸（m）</w:t>
            </w:r>
          </w:p>
        </w:tc>
      </w:tr>
      <w:tr w14:paraId="2AD106A5">
        <w:tblPrEx>
          <w:tblCellMar>
            <w:top w:w="0" w:type="dxa"/>
            <w:left w:w="108" w:type="dxa"/>
            <w:bottom w:w="0" w:type="dxa"/>
            <w:right w:w="108" w:type="dxa"/>
          </w:tblCellMar>
        </w:tblPrEx>
        <w:trPr>
          <w:jc w:val="center"/>
        </w:trPr>
        <w:tc>
          <w:tcPr>
            <w:tcW w:w="2765" w:type="dxa"/>
          </w:tcPr>
          <w:p w14:paraId="428DED79">
            <w:pPr>
              <w:jc w:val="center"/>
            </w:pPr>
            <w:bookmarkStart w:id="42" w:name="冬季风场X尺寸"/>
            <w:r>
              <w:t>883</w:t>
            </w:r>
            <w:bookmarkEnd w:id="42"/>
          </w:p>
        </w:tc>
        <w:tc>
          <w:tcPr>
            <w:tcW w:w="2765" w:type="dxa"/>
          </w:tcPr>
          <w:p w14:paraId="29D65B97">
            <w:pPr>
              <w:jc w:val="center"/>
            </w:pPr>
            <w:bookmarkStart w:id="43" w:name="冬季风场Y尺寸"/>
            <w:r>
              <w:t>711</w:t>
            </w:r>
            <w:bookmarkEnd w:id="43"/>
          </w:p>
        </w:tc>
        <w:tc>
          <w:tcPr>
            <w:tcW w:w="2766" w:type="dxa"/>
          </w:tcPr>
          <w:p w14:paraId="5FF04410">
            <w:pPr>
              <w:jc w:val="center"/>
            </w:pPr>
            <w:bookmarkStart w:id="44" w:name="冬季风场Z尺寸"/>
            <w:r>
              <w:t>165</w:t>
            </w:r>
            <w:bookmarkEnd w:id="44"/>
          </w:p>
        </w:tc>
      </w:tr>
    </w:tbl>
    <w:p w14:paraId="2A7D5057">
      <w:pPr>
        <w:pStyle w:val="3"/>
        <w:ind w:firstLine="0" w:firstLineChars="0"/>
        <w:jc w:val="center"/>
        <w:rPr>
          <w:rFonts w:ascii="微软雅黑" w:hAnsi="微软雅黑" w:eastAsia="微软雅黑"/>
          <w:lang w:val="en-US"/>
        </w:rPr>
      </w:pPr>
      <w:bookmarkStart w:id="45" w:name="冬季工况风场计算域图示"/>
      <w:bookmarkEnd w:id="45"/>
      <w:r>
        <w:drawing>
          <wp:inline distT="0" distB="0" distL="0" distR="0">
            <wp:extent cx="5667375" cy="33051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3EC0D101">
      <w:pPr>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6" w:name="季节3"/>
      <w:r>
        <w:rPr>
          <w:rFonts w:hint="eastAsia" w:ascii="微软雅黑" w:hAnsi="微软雅黑" w:eastAsia="微软雅黑"/>
          <w:sz w:val="18"/>
          <w:szCs w:val="18"/>
        </w:rPr>
        <w:t>冬季</w:t>
      </w:r>
      <w:bookmarkEnd w:id="46"/>
      <w:r>
        <w:rPr>
          <w:rFonts w:hint="eastAsia" w:ascii="微软雅黑" w:hAnsi="微软雅黑" w:eastAsia="微软雅黑"/>
          <w:sz w:val="18"/>
          <w:szCs w:val="18"/>
        </w:rPr>
        <w:t>工况风场计算域图示</w:t>
      </w:r>
      <w:r>
        <w:rPr>
          <w:rFonts w:hint="eastAsia" w:ascii="微软雅黑" w:hAnsi="微软雅黑" w:eastAsia="微软雅黑"/>
          <w:sz w:val="18"/>
          <w:szCs w:val="18"/>
          <w:lang w:val="en-US"/>
        </w:rPr>
        <w:t xml:space="preserve"> </w:t>
      </w:r>
    </w:p>
    <w:p w14:paraId="4D1CA8F7">
      <w:pPr>
        <w:pStyle w:val="3"/>
        <w:ind w:firstLine="315" w:firstLineChars="150"/>
        <w:rPr>
          <w:rFonts w:ascii="微软雅黑" w:hAnsi="微软雅黑" w:eastAsia="微软雅黑"/>
          <w:lang w:val="en-US"/>
        </w:rPr>
      </w:pPr>
      <w:bookmarkStart w:id="47" w:name="计算域"/>
      <w:bookmarkEnd w:id="47"/>
    </w:p>
    <w:p w14:paraId="30787BD0">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注：不同季节因风向不同，为了最大限度反映项目周围区域风场特征，根据不同风向划定不同的计算域。</w:t>
      </w:r>
    </w:p>
    <w:p w14:paraId="7D72F2AA">
      <w:pPr>
        <w:pStyle w:val="4"/>
      </w:pPr>
      <w:bookmarkStart w:id="48" w:name="_Toc509844741"/>
      <w:bookmarkStart w:id="49" w:name="_Toc13422"/>
      <w:r>
        <w:rPr>
          <w:rFonts w:hint="eastAsia"/>
        </w:rPr>
        <w:t>网格划分</w:t>
      </w:r>
      <w:bookmarkEnd w:id="48"/>
      <w:bookmarkEnd w:id="49"/>
    </w:p>
    <w:p w14:paraId="2FD7FE62">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均需采用不同的网格方案。下面为本项目所采用的加密方案：</w:t>
      </w:r>
    </w:p>
    <w:p w14:paraId="52621CB2">
      <w:pPr>
        <w:pStyle w:val="12"/>
        <w:spacing w:before="156"/>
        <w:ind w:left="426" w:firstLine="0"/>
        <w:rPr>
          <w:rFonts w:ascii="微软雅黑"/>
        </w:rPr>
      </w:pPr>
      <w:r>
        <w:rPr>
          <w:rFonts w:hint="eastAsia" w:ascii="微软雅黑"/>
        </w:rPr>
        <w:t>1）一般网格：指除靠近地面和建筑以外的网格，通常不需要特别加密处理</w:t>
      </w:r>
    </w:p>
    <w:p w14:paraId="7BF131B3">
      <w:pPr>
        <w:pStyle w:val="12"/>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64759207">
      <w:pPr>
        <w:numPr>
          <w:ilvl w:val="0"/>
          <w:numId w:val="4"/>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75BDF86D">
      <w:pPr>
        <w:numPr>
          <w:ilvl w:val="0"/>
          <w:numId w:val="4"/>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39AFE2F3">
      <w:pPr>
        <w:numPr>
          <w:ilvl w:val="0"/>
          <w:numId w:val="4"/>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6933CA3F">
      <w:pPr>
        <w:pStyle w:val="12"/>
        <w:spacing w:before="156"/>
        <w:ind w:left="0" w:firstLine="315" w:firstLineChars="150"/>
        <w:rPr>
          <w:rFonts w:ascii="微软雅黑"/>
        </w:rPr>
      </w:pPr>
      <w:r>
        <w:rPr>
          <w:rFonts w:hint="eastAsia" w:ascii="微软雅黑"/>
        </w:rPr>
        <w:t>2）地面网格</w:t>
      </w:r>
    </w:p>
    <w:p w14:paraId="1C2DD46F">
      <w:pPr>
        <w:pStyle w:val="12"/>
        <w:spacing w:before="156"/>
        <w:ind w:firstLine="315" w:firstLineChars="150"/>
        <w:rPr>
          <w:rFonts w:ascii="微软雅黑"/>
        </w:rPr>
      </w:pPr>
      <w:r>
        <w:rPr>
          <w:rFonts w:hint="eastAsia" w:ascii="微软雅黑"/>
        </w:rPr>
        <w:t>靠近建筑物的区域称为近场，远离建筑物的区域称为远场。</w:t>
      </w:r>
    </w:p>
    <w:p w14:paraId="0A9FA68F">
      <w:pPr>
        <w:pStyle w:val="12"/>
        <w:spacing w:before="156"/>
        <w:ind w:firstLine="315" w:firstLineChars="150"/>
        <w:rPr>
          <w:rFonts w:ascii="微软雅黑"/>
        </w:rPr>
      </w:pPr>
      <w:r>
        <w:rPr>
          <w:rFonts w:hint="eastAsia" w:ascii="微软雅黑"/>
        </w:rPr>
        <w:t>近场的地面网格需要加密，对应地面细分级数较大；而远场地面对应网格较疏，地面细分级数较小。</w:t>
      </w:r>
    </w:p>
    <w:p w14:paraId="176B9178">
      <w:pPr>
        <w:pStyle w:val="3"/>
        <w:ind w:firstLine="420"/>
        <w:rPr>
          <w:rFonts w:ascii="微软雅黑" w:hAnsi="微软雅黑" w:eastAsia="微软雅黑"/>
        </w:rPr>
      </w:pPr>
      <w:r>
        <w:rPr>
          <w:rFonts w:hint="eastAsia" w:ascii="微软雅黑" w:hAnsi="微软雅黑" w:eastAsia="微软雅黑"/>
          <w:lang w:val="en-US"/>
        </w:rPr>
        <w:t>以下</w:t>
      </w:r>
      <w:r>
        <w:rPr>
          <w:rFonts w:hint="eastAsia" w:ascii="微软雅黑" w:hAnsi="微软雅黑" w:eastAsia="微软雅黑"/>
        </w:rPr>
        <w:t>为本项目的网格划分信息，上述网格方案对网格的控制分别体现在相应的网格参数中：</w:t>
      </w:r>
    </w:p>
    <w:p w14:paraId="6033A3C1">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w:t>
      </w:r>
      <w:bookmarkEnd w:id="4"/>
      <w:r>
        <w:rPr>
          <w:rFonts w:hint="eastAsia" w:ascii="微软雅黑" w:hAnsi="微软雅黑" w:eastAsia="微软雅黑"/>
          <w:sz w:val="18"/>
          <w:szCs w:val="18"/>
        </w:rPr>
        <w:t>网格划分信息</w:t>
      </w:r>
    </w:p>
    <w:bookmarkEnd w:id="1"/>
    <w:bookmarkEnd w:id="2"/>
    <w:tbl>
      <w:tblPr>
        <w:tblStyle w:val="21"/>
        <w:tblW w:w="7776" w:type="dxa"/>
        <w:tblInd w:w="279" w:type="dxa"/>
        <w:tblLayout w:type="autofit"/>
        <w:tblCellMar>
          <w:top w:w="0" w:type="dxa"/>
          <w:left w:w="108" w:type="dxa"/>
          <w:bottom w:w="0" w:type="dxa"/>
          <w:right w:w="108" w:type="dxa"/>
        </w:tblCellMar>
      </w:tblPr>
      <w:tblGrid>
        <w:gridCol w:w="1701"/>
        <w:gridCol w:w="1701"/>
        <w:gridCol w:w="2977"/>
        <w:gridCol w:w="1397"/>
      </w:tblGrid>
      <w:tr w14:paraId="257F023D">
        <w:tblPrEx>
          <w:tblCellMar>
            <w:top w:w="0" w:type="dxa"/>
            <w:left w:w="108" w:type="dxa"/>
            <w:bottom w:w="0" w:type="dxa"/>
            <w:right w:w="108" w:type="dxa"/>
          </w:tblCellMar>
        </w:tblPrEx>
        <w:trPr>
          <w:trHeight w:val="270" w:hRule="atLeast"/>
        </w:trPr>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365962E">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0C5C758">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网格类型</w:t>
            </w:r>
          </w:p>
        </w:tc>
        <w:tc>
          <w:tcPr>
            <w:tcW w:w="4374"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CBED8FB">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网格尺寸</w:t>
            </w:r>
          </w:p>
        </w:tc>
      </w:tr>
      <w:tr w14:paraId="20285C7F">
        <w:tblPrEx>
          <w:tblCellMar>
            <w:top w:w="0" w:type="dxa"/>
            <w:left w:w="108" w:type="dxa"/>
            <w:bottom w:w="0" w:type="dxa"/>
            <w:right w:w="108" w:type="dxa"/>
          </w:tblCellMar>
        </w:tblPrEx>
        <w:trPr>
          <w:trHeight w:val="270"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14:paraId="51C7FA67">
            <w:pPr>
              <w:spacing w:line="400" w:lineRule="exact"/>
              <w:jc w:val="center"/>
              <w:rPr>
                <w:rFonts w:ascii="微软雅黑" w:hAnsi="微软雅黑" w:eastAsia="微软雅黑"/>
                <w:sz w:val="18"/>
                <w:szCs w:val="18"/>
                <w:lang w:val="en-US"/>
              </w:rPr>
            </w:pPr>
            <w:bookmarkStart w:id="51" w:name="冬季网格总数"/>
            <w:r>
              <w:t>1377998</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9515788">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05E4484">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分弧精度(m</w:t>
            </w:r>
            <w:r>
              <w:rPr>
                <w:rFonts w:ascii="微软雅黑" w:hAnsi="微软雅黑" w:eastAsia="微软雅黑"/>
                <w:sz w:val="18"/>
                <w:szCs w:val="18"/>
                <w:lang w:val="en-US"/>
              </w:rPr>
              <w:t>)</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1CE935ED">
            <w:pPr>
              <w:spacing w:line="400" w:lineRule="exact"/>
              <w:jc w:val="center"/>
              <w:rPr>
                <w:rFonts w:ascii="微软雅黑" w:hAnsi="微软雅黑" w:eastAsia="微软雅黑"/>
                <w:sz w:val="18"/>
                <w:szCs w:val="18"/>
                <w:lang w:val="en-US"/>
              </w:rPr>
            </w:pPr>
            <w:bookmarkStart w:id="52" w:name="冬季分弧精度"/>
            <w:r>
              <w:t>0.24</w:t>
            </w:r>
            <w:bookmarkEnd w:id="52"/>
          </w:p>
        </w:tc>
      </w:tr>
      <w:tr w14:paraId="0A89CEEA">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63C208E7">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18E19E9">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044B1DA">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最大网格尺寸(m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15B56BCA">
            <w:pPr>
              <w:spacing w:line="400" w:lineRule="exact"/>
              <w:jc w:val="center"/>
              <w:rPr>
                <w:rFonts w:ascii="微软雅黑" w:hAnsi="微软雅黑" w:eastAsia="微软雅黑"/>
                <w:sz w:val="18"/>
                <w:szCs w:val="18"/>
                <w:lang w:val="en-US"/>
              </w:rPr>
            </w:pPr>
            <w:bookmarkStart w:id="53" w:name="最大网格尺寸"/>
            <w:r>
              <w:t>16.0</w:t>
            </w:r>
            <w:bookmarkEnd w:id="53"/>
          </w:p>
        </w:tc>
      </w:tr>
      <w:tr w14:paraId="0D89E725">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6B6E1F15">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48D1350">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DA4AA91">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最小网格尺寸(m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3C6540F0">
            <w:pPr>
              <w:spacing w:line="400" w:lineRule="exact"/>
              <w:jc w:val="center"/>
              <w:rPr>
                <w:rFonts w:ascii="微软雅黑" w:hAnsi="微软雅黑" w:eastAsia="微软雅黑"/>
                <w:sz w:val="18"/>
                <w:szCs w:val="18"/>
                <w:lang w:val="en-US"/>
              </w:rPr>
            </w:pPr>
            <w:bookmarkStart w:id="54" w:name="最小网格尺寸"/>
            <w:r>
              <w:t>4.0</w:t>
            </w:r>
            <w:bookmarkEnd w:id="54"/>
          </w:p>
        </w:tc>
      </w:tr>
      <w:tr w14:paraId="5C060E0E">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130021DB">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8374AE5">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AC8D681">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建筑表面细分层</w:t>
            </w:r>
            <w:r>
              <w:rPr>
                <w:rFonts w:ascii="微软雅黑" w:hAnsi="微软雅黑" w:eastAsia="微软雅黑"/>
                <w:sz w:val="18"/>
                <w:szCs w:val="18"/>
                <w:lang w:val="en-US"/>
              </w:rPr>
              <w:t>厚度</w:t>
            </w:r>
            <w:r>
              <w:rPr>
                <w:rFonts w:hint="eastAsia" w:ascii="微软雅黑" w:hAnsi="微软雅黑" w:eastAsia="微软雅黑"/>
                <w:sz w:val="18"/>
                <w:szCs w:val="18"/>
                <w:lang w:val="en-US"/>
              </w:rPr>
              <w:t>(m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34AAA827">
            <w:pPr>
              <w:spacing w:line="400" w:lineRule="exact"/>
              <w:jc w:val="center"/>
              <w:rPr>
                <w:rFonts w:ascii="微软雅黑" w:hAnsi="微软雅黑" w:eastAsia="微软雅黑"/>
                <w:sz w:val="18"/>
                <w:szCs w:val="18"/>
                <w:lang w:val="en-US"/>
              </w:rPr>
            </w:pPr>
            <w:bookmarkStart w:id="55" w:name="建筑表面细分层厚度"/>
            <w:r>
              <w:t>4.0</w:t>
            </w:r>
            <w:bookmarkEnd w:id="55"/>
          </w:p>
        </w:tc>
      </w:tr>
      <w:tr w14:paraId="1EA94E6F">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209F5231">
            <w:pPr>
              <w:spacing w:line="400" w:lineRule="exact"/>
              <w:jc w:val="center"/>
              <w:rPr>
                <w:rFonts w:ascii="微软雅黑" w:hAnsi="微软雅黑" w:eastAsia="微软雅黑"/>
                <w:sz w:val="18"/>
                <w:szCs w:val="18"/>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6B755FD">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500BD35">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远场网格尺寸(m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5AFBE0D4">
            <w:pPr>
              <w:spacing w:line="400" w:lineRule="exact"/>
              <w:jc w:val="center"/>
              <w:rPr>
                <w:rFonts w:ascii="微软雅黑" w:hAnsi="微软雅黑" w:eastAsia="微软雅黑"/>
                <w:sz w:val="18"/>
                <w:szCs w:val="18"/>
                <w:lang w:val="en-US"/>
              </w:rPr>
            </w:pPr>
            <w:bookmarkStart w:id="56" w:name="远场网格尺寸"/>
            <w:r>
              <w:t>8.0</w:t>
            </w:r>
            <w:bookmarkEnd w:id="56"/>
          </w:p>
        </w:tc>
      </w:tr>
      <w:tr w14:paraId="2DA7B07C">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26CEAB19">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D290128">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8DB9070">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近场网格尺寸(m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65AC6E0A">
            <w:pPr>
              <w:spacing w:line="400" w:lineRule="exact"/>
              <w:jc w:val="center"/>
              <w:rPr>
                <w:rFonts w:ascii="微软雅黑" w:hAnsi="微软雅黑" w:eastAsia="微软雅黑"/>
                <w:sz w:val="18"/>
                <w:szCs w:val="18"/>
                <w:lang w:val="en-US"/>
              </w:rPr>
            </w:pPr>
            <w:bookmarkStart w:id="57" w:name="近场网格尺寸"/>
            <w:r>
              <w:t>4.0</w:t>
            </w:r>
            <w:bookmarkEnd w:id="57"/>
          </w:p>
        </w:tc>
      </w:tr>
    </w:tbl>
    <w:p w14:paraId="43A86781">
      <w:pPr>
        <w:rPr>
          <w:rFonts w:ascii="微软雅黑" w:hAnsi="微软雅黑" w:eastAsia="微软雅黑"/>
          <w:sz w:val="18"/>
          <w:szCs w:val="18"/>
          <w:lang w:val="en-US"/>
        </w:rPr>
      </w:pPr>
    </w:p>
    <w:p w14:paraId="2356FC55">
      <w:pPr>
        <w:jc w:val="center"/>
      </w:pPr>
      <w:bookmarkStart w:id="58" w:name="网格图"/>
      <w:bookmarkEnd w:id="58"/>
      <w:r>
        <w:drawing>
          <wp:inline distT="0" distB="0" distL="0" distR="0">
            <wp:extent cx="5667375" cy="339090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3"/>
                    <a:stretch>
                      <a:fillRect/>
                    </a:stretch>
                  </pic:blipFill>
                  <pic:spPr>
                    <a:xfrm>
                      <a:off x="0" y="0"/>
                      <a:ext cx="5667375" cy="3390900"/>
                    </a:xfrm>
                    <a:prstGeom prst="rect">
                      <a:avLst/>
                    </a:prstGeom>
                  </pic:spPr>
                </pic:pic>
              </a:graphicData>
            </a:graphic>
          </wp:inline>
        </w:drawing>
      </w:r>
    </w:p>
    <w:p w14:paraId="3BB0D61D">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冬季</w:t>
      </w:r>
      <w:bookmarkEnd w:id="59"/>
    </w:p>
    <w:p w14:paraId="07AF0021">
      <w:pPr>
        <w:pStyle w:val="3"/>
        <w:ind w:firstLine="42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1795F99E">
      <w:pPr>
        <w:pStyle w:val="3"/>
        <w:ind w:firstLine="0" w:firstLineChars="0"/>
        <w:rPr>
          <w:rFonts w:ascii="微软雅黑" w:hAnsi="微软雅黑" w:eastAsia="微软雅黑"/>
          <w:szCs w:val="20"/>
          <w:lang w:val="en-US"/>
        </w:rPr>
      </w:pPr>
    </w:p>
    <w:p w14:paraId="4074D656">
      <w:pPr>
        <w:pStyle w:val="4"/>
        <w:numPr>
          <w:ilvl w:val="1"/>
          <w:numId w:val="3"/>
        </w:numPr>
      </w:pPr>
      <w:bookmarkStart w:id="61" w:name="_Toc509844742"/>
      <w:bookmarkStart w:id="62" w:name="_Toc21138"/>
      <w:r>
        <w:rPr>
          <w:rFonts w:hint="eastAsia"/>
        </w:rPr>
        <w:t>边界条件</w:t>
      </w:r>
      <w:bookmarkEnd w:id="61"/>
      <w:bookmarkEnd w:id="62"/>
    </w:p>
    <w:p w14:paraId="0F388C4E">
      <w:r>
        <w:rPr>
          <w:lang w:val="en-US"/>
        </w:rPr>
        <w:drawing>
          <wp:inline distT="0" distB="0" distL="0" distR="0">
            <wp:extent cx="5050155" cy="3060065"/>
            <wp:effectExtent l="0" t="0" r="0" b="698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56621" cy="3063821"/>
                    </a:xfrm>
                    <a:prstGeom prst="rect">
                      <a:avLst/>
                    </a:prstGeom>
                    <a:noFill/>
                    <a:ln>
                      <a:noFill/>
                    </a:ln>
                  </pic:spPr>
                </pic:pic>
              </a:graphicData>
            </a:graphic>
          </wp:inline>
        </w:drawing>
      </w:r>
    </w:p>
    <w:p w14:paraId="265364E0">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1E3F9206">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64997FAA">
      <w:pPr>
        <w:pStyle w:val="5"/>
      </w:pPr>
      <w:bookmarkStart w:id="63" w:name="_Toc509844743"/>
      <w:r>
        <w:rPr>
          <w:rFonts w:hint="eastAsia"/>
        </w:rPr>
        <w:t>入口与出口边界条件</w:t>
      </w:r>
      <w:bookmarkEnd w:id="63"/>
    </w:p>
    <w:p w14:paraId="5952EA8D">
      <w:r>
        <w:rPr>
          <w:rFonts w:hint="eastAsia"/>
        </w:rPr>
        <w:t>1）入口风速梯度</w:t>
      </w:r>
    </w:p>
    <w:p w14:paraId="2ACB5B53">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09AEB4FF">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38151A8E">
      <w:pPr>
        <w:pStyle w:val="3"/>
        <w:ind w:firstLine="420"/>
        <w:rPr>
          <w:rFonts w:ascii="微软雅黑" w:hAnsi="微软雅黑" w:eastAsia="微软雅黑"/>
          <w:lang w:val="en-US"/>
        </w:rPr>
      </w:pPr>
      <w:r>
        <w:rPr>
          <w:rFonts w:hint="eastAsia" w:ascii="微软雅黑" w:hAnsi="微软雅黑" w:eastAsia="微软雅黑"/>
          <w:lang w:val="en-US"/>
        </w:rPr>
        <w:t>式中：</w:t>
      </w:r>
    </w:p>
    <w:p w14:paraId="01D83D68">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59492DD7">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75pt;width:13.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19192F8E">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4B589979">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hint="eastAsia" w:ascii="微软雅黑" w:hAnsi="微软雅黑" w:eastAsia="微软雅黑"/>
          <w:sz w:val="20"/>
          <w:szCs w:val="20"/>
        </w:rPr>
        <w:t>地面粗糙度指数参考值</w:t>
      </w:r>
    </w:p>
    <w:tbl>
      <w:tblPr>
        <w:tblStyle w:val="21"/>
        <w:tblW w:w="8222" w:type="dxa"/>
        <w:tblInd w:w="108" w:type="dxa"/>
        <w:tblLayout w:type="autofit"/>
        <w:tblCellMar>
          <w:top w:w="0" w:type="dxa"/>
          <w:left w:w="108" w:type="dxa"/>
          <w:bottom w:w="0" w:type="dxa"/>
          <w:right w:w="108" w:type="dxa"/>
        </w:tblCellMar>
      </w:tblPr>
      <w:tblGrid>
        <w:gridCol w:w="2864"/>
        <w:gridCol w:w="2948"/>
        <w:gridCol w:w="2410"/>
      </w:tblGrid>
      <w:tr w14:paraId="4C374FBD">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vAlign w:val="center"/>
          </w:tcPr>
          <w:p w14:paraId="10043246">
            <w:pPr>
              <w:jc w:val="center"/>
              <w:rPr>
                <w:rFonts w:cs="宋体"/>
                <w:b/>
                <w:bCs/>
                <w:sz w:val="18"/>
                <w:szCs w:val="18"/>
              </w:rPr>
            </w:pPr>
            <w:r>
              <w:rPr>
                <w:rFonts w:hint="eastAsia" w:cs="宋体"/>
                <w:b/>
                <w:bCs/>
                <w:sz w:val="18"/>
                <w:szCs w:val="18"/>
              </w:rPr>
              <w:t>参考标准</w:t>
            </w:r>
          </w:p>
        </w:tc>
        <w:tc>
          <w:tcPr>
            <w:tcW w:w="2948" w:type="dxa"/>
            <w:tcBorders>
              <w:top w:val="single" w:color="auto" w:sz="4" w:space="0"/>
              <w:left w:val="nil"/>
              <w:bottom w:val="single" w:color="auto" w:sz="4" w:space="0"/>
              <w:right w:val="single" w:color="auto" w:sz="4" w:space="0"/>
            </w:tcBorders>
            <w:vAlign w:val="center"/>
          </w:tcPr>
          <w:p w14:paraId="1E2B8A58">
            <w:pPr>
              <w:jc w:val="center"/>
              <w:rPr>
                <w:rFonts w:cs="宋体"/>
                <w:b/>
                <w:bCs/>
                <w:sz w:val="18"/>
                <w:szCs w:val="18"/>
              </w:rPr>
            </w:pPr>
            <w:r>
              <w:rPr>
                <w:rFonts w:hint="eastAsia" w:cs="宋体"/>
                <w:b/>
                <w:bCs/>
                <w:sz w:val="18"/>
                <w:szCs w:val="18"/>
              </w:rPr>
              <w:t>地貌类别</w:t>
            </w:r>
          </w:p>
        </w:tc>
        <w:tc>
          <w:tcPr>
            <w:tcW w:w="2410" w:type="dxa"/>
            <w:tcBorders>
              <w:top w:val="single" w:color="auto" w:sz="4" w:space="0"/>
              <w:left w:val="nil"/>
              <w:bottom w:val="single" w:color="auto" w:sz="4" w:space="0"/>
              <w:right w:val="single" w:color="auto" w:sz="4" w:space="0"/>
            </w:tcBorders>
            <w:vAlign w:val="center"/>
          </w:tcPr>
          <w:p w14:paraId="176155A6">
            <w:pPr>
              <w:jc w:val="center"/>
              <w:rPr>
                <w:rFonts w:cs="宋体"/>
                <w:b/>
                <w:bCs/>
                <w:sz w:val="18"/>
                <w:szCs w:val="18"/>
              </w:rPr>
            </w:pPr>
            <w:r>
              <w:rPr>
                <w:rFonts w:hint="eastAsia" w:cs="宋体"/>
                <w:b/>
                <w:bCs/>
                <w:sz w:val="18"/>
                <w:szCs w:val="18"/>
              </w:rPr>
              <w:t>地面粗糙度指数</w:t>
            </w:r>
          </w:p>
        </w:tc>
      </w:tr>
      <w:tr w14:paraId="312D94CC">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19C59AF0">
            <w:pPr>
              <w:jc w:val="center"/>
              <w:rPr>
                <w:rFonts w:cs="宋体"/>
                <w:b/>
                <w:sz w:val="18"/>
                <w:szCs w:val="18"/>
              </w:rPr>
            </w:pPr>
            <w:r>
              <w:rPr>
                <w:rFonts w:hint="eastAsia"/>
                <w:sz w:val="18"/>
                <w:szCs w:val="18"/>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36DB9388">
            <w:pPr>
              <w:jc w:val="center"/>
              <w:rPr>
                <w:rFonts w:cs="宋体"/>
                <w:sz w:val="18"/>
                <w:szCs w:val="18"/>
              </w:rPr>
            </w:pPr>
            <w:r>
              <w:rPr>
                <w:rFonts w:hint="eastAsia" w:cs="宋体"/>
                <w:sz w:val="18"/>
                <w:szCs w:val="18"/>
              </w:rPr>
              <w:t>空旷平坦地面</w:t>
            </w:r>
          </w:p>
        </w:tc>
        <w:tc>
          <w:tcPr>
            <w:tcW w:w="2410" w:type="dxa"/>
            <w:tcBorders>
              <w:top w:val="single" w:color="auto" w:sz="4" w:space="0"/>
              <w:left w:val="nil"/>
              <w:bottom w:val="single" w:color="auto" w:sz="4" w:space="0"/>
              <w:right w:val="single" w:color="auto" w:sz="4" w:space="0"/>
            </w:tcBorders>
            <w:vAlign w:val="center"/>
          </w:tcPr>
          <w:p w14:paraId="614FDDE6">
            <w:pPr>
              <w:jc w:val="center"/>
              <w:rPr>
                <w:rFonts w:cs="宋体"/>
                <w:sz w:val="18"/>
                <w:szCs w:val="18"/>
              </w:rPr>
            </w:pPr>
            <w:r>
              <w:rPr>
                <w:rFonts w:hint="eastAsia" w:cs="宋体"/>
                <w:sz w:val="18"/>
                <w:szCs w:val="18"/>
              </w:rPr>
              <w:t>0.14</w:t>
            </w:r>
          </w:p>
        </w:tc>
      </w:tr>
      <w:tr w14:paraId="5F8A0CB9">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6104CCDD">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7BA5B6A9">
            <w:pPr>
              <w:jc w:val="center"/>
              <w:rPr>
                <w:rFonts w:cs="宋体"/>
                <w:sz w:val="18"/>
                <w:szCs w:val="18"/>
              </w:rPr>
            </w:pPr>
            <w:r>
              <w:rPr>
                <w:rFonts w:hint="eastAsia" w:cs="宋体"/>
                <w:sz w:val="18"/>
                <w:szCs w:val="18"/>
              </w:rPr>
              <w:t>城市郊区</w:t>
            </w:r>
          </w:p>
        </w:tc>
        <w:tc>
          <w:tcPr>
            <w:tcW w:w="2410" w:type="dxa"/>
            <w:tcBorders>
              <w:top w:val="single" w:color="auto" w:sz="4" w:space="0"/>
              <w:left w:val="nil"/>
              <w:bottom w:val="single" w:color="auto" w:sz="4" w:space="0"/>
              <w:right w:val="single" w:color="auto" w:sz="4" w:space="0"/>
            </w:tcBorders>
            <w:vAlign w:val="center"/>
          </w:tcPr>
          <w:p w14:paraId="66B16A1D">
            <w:pPr>
              <w:jc w:val="center"/>
              <w:rPr>
                <w:rFonts w:cs="宋体"/>
                <w:sz w:val="18"/>
                <w:szCs w:val="18"/>
              </w:rPr>
            </w:pPr>
            <w:r>
              <w:rPr>
                <w:rFonts w:hint="eastAsia" w:cs="宋体"/>
                <w:sz w:val="18"/>
                <w:szCs w:val="18"/>
              </w:rPr>
              <w:t>0.22</w:t>
            </w:r>
          </w:p>
        </w:tc>
      </w:tr>
      <w:tr w14:paraId="31C4FE26">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7059A6F6">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423F727C">
            <w:pPr>
              <w:jc w:val="center"/>
              <w:rPr>
                <w:rFonts w:cs="宋体"/>
                <w:sz w:val="18"/>
                <w:szCs w:val="18"/>
              </w:rPr>
            </w:pPr>
            <w:r>
              <w:rPr>
                <w:rFonts w:hint="eastAsia" w:cs="宋体"/>
                <w:sz w:val="18"/>
                <w:szCs w:val="18"/>
              </w:rPr>
              <w:t>大城市中心</w:t>
            </w:r>
          </w:p>
        </w:tc>
        <w:tc>
          <w:tcPr>
            <w:tcW w:w="2410" w:type="dxa"/>
            <w:tcBorders>
              <w:top w:val="single" w:color="auto" w:sz="4" w:space="0"/>
              <w:left w:val="nil"/>
              <w:bottom w:val="single" w:color="auto" w:sz="4" w:space="0"/>
              <w:right w:val="single" w:color="auto" w:sz="4" w:space="0"/>
            </w:tcBorders>
            <w:vAlign w:val="center"/>
          </w:tcPr>
          <w:p w14:paraId="2360FDAB">
            <w:pPr>
              <w:jc w:val="center"/>
              <w:rPr>
                <w:rFonts w:cs="宋体"/>
                <w:sz w:val="18"/>
                <w:szCs w:val="18"/>
              </w:rPr>
            </w:pPr>
            <w:r>
              <w:rPr>
                <w:rFonts w:hint="eastAsia" w:cs="宋体"/>
                <w:sz w:val="18"/>
                <w:szCs w:val="18"/>
              </w:rPr>
              <w:t>0.28</w:t>
            </w:r>
          </w:p>
        </w:tc>
      </w:tr>
    </w:tbl>
    <w:p w14:paraId="7158E710">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5977C5CA">
      <w:pPr>
        <w:spacing w:before="156" w:beforeLines="50"/>
      </w:pPr>
      <w:r>
        <w:t>2）出口边界</w:t>
      </w:r>
      <w:r>
        <w:rPr>
          <w:rFonts w:hint="eastAsia"/>
        </w:rPr>
        <w:t>条件</w:t>
      </w:r>
    </w:p>
    <w:p w14:paraId="55B5BD0A">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本项目采用自由出流作为出口边界条件。</w:t>
      </w:r>
    </w:p>
    <w:p w14:paraId="4C412B61">
      <w:pPr>
        <w:pStyle w:val="5"/>
      </w:pPr>
      <w:bookmarkStart w:id="65" w:name="_Toc509844744"/>
      <w:r>
        <w:rPr>
          <w:rFonts w:hint="eastAsia"/>
        </w:rPr>
        <w:t>壁面边界条件</w:t>
      </w:r>
      <w:bookmarkEnd w:id="65"/>
    </w:p>
    <w:p w14:paraId="081CC4B2">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4B21076B">
      <w:pPr>
        <w:pStyle w:val="3"/>
        <w:ind w:firstLine="420" w:firstLineChars="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53DE66A7">
      <w:pPr>
        <w:pStyle w:val="4"/>
        <w:numPr>
          <w:ilvl w:val="1"/>
          <w:numId w:val="3"/>
        </w:numPr>
      </w:pPr>
      <w:bookmarkStart w:id="66" w:name="_Toc22272"/>
      <w:r>
        <w:rPr>
          <w:rFonts w:hint="eastAsia"/>
        </w:rPr>
        <w:t>湍流模型</w:t>
      </w:r>
      <w:bookmarkEnd w:id="38"/>
      <w:bookmarkEnd w:id="39"/>
      <w:bookmarkEnd w:id="66"/>
    </w:p>
    <w:p w14:paraId="10937085">
      <w:pPr>
        <w:pStyle w:val="3"/>
        <w:ind w:firstLine="420"/>
        <w:rPr>
          <w:rFonts w:ascii="微软雅黑" w:hAnsi="微软雅黑" w:eastAsia="微软雅黑"/>
        </w:rPr>
      </w:pPr>
      <w:r>
        <w:rPr>
          <w:rFonts w:hint="eastAsia" w:ascii="微软雅黑" w:hAnsi="微软雅黑" w:eastAsia="微软雅黑"/>
        </w:rPr>
        <w:t>湍流</w:t>
      </w:r>
      <w:r>
        <w:rPr>
          <w:rFonts w:hint="eastAsia" w:ascii="微软雅黑" w:hAnsi="微软雅黑" w:eastAsia="微软雅黑"/>
          <w:lang w:val="en-US"/>
        </w:rPr>
        <w:t>模型</w:t>
      </w:r>
      <w:r>
        <w:rPr>
          <w:rFonts w:hint="eastAsia" w:ascii="微软雅黑" w:hAnsi="微软雅黑" w:eastAsia="微软雅黑"/>
        </w:rPr>
        <w:t>反映了流体流动的状态，在流体力学数值模拟中，不同的流体流动应该选择合适的湍流模型才会最大限度模拟出真实的流场数值。</w:t>
      </w:r>
    </w:p>
    <w:p w14:paraId="65DF3414">
      <w:pPr>
        <w:pStyle w:val="3"/>
        <w:ind w:firstLine="420"/>
        <w:rPr>
          <w:rFonts w:ascii="微软雅黑" w:hAnsi="微软雅黑" w:eastAsia="微软雅黑"/>
        </w:rPr>
      </w:pPr>
      <w:r>
        <w:rPr>
          <w:rFonts w:hint="eastAsia" w:ascii="微软雅黑" w:hAnsi="微软雅黑" w:eastAsia="微软雅黑"/>
        </w:rPr>
        <w:t>本</w:t>
      </w:r>
      <w:r>
        <w:rPr>
          <w:rFonts w:hint="eastAsia" w:ascii="微软雅黑" w:hAnsi="微软雅黑" w:eastAsia="微软雅黑"/>
          <w:lang w:val="en-US"/>
        </w:rPr>
        <w:t>项目</w:t>
      </w:r>
      <w:r>
        <w:rPr>
          <w:rFonts w:hint="eastAsia" w:ascii="微软雅黑" w:hAnsi="微软雅黑" w:eastAsia="微软雅黑"/>
        </w:rPr>
        <w:t>依据《绿色建筑评价技术细则》推荐的标准k-ε湍流模型进行室外流场计算。</w:t>
      </w:r>
    </w:p>
    <w:p w14:paraId="3C39F4E8">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1DA43492">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4.4</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常用湍流模型适用范围</w:t>
      </w:r>
    </w:p>
    <w:tbl>
      <w:tblPr>
        <w:tblStyle w:val="21"/>
        <w:tblW w:w="8379" w:type="dxa"/>
        <w:tblInd w:w="93" w:type="dxa"/>
        <w:tblLayout w:type="fixed"/>
        <w:tblCellMar>
          <w:top w:w="0" w:type="dxa"/>
          <w:left w:w="108" w:type="dxa"/>
          <w:bottom w:w="0" w:type="dxa"/>
          <w:right w:w="108" w:type="dxa"/>
        </w:tblCellMar>
      </w:tblPr>
      <w:tblGrid>
        <w:gridCol w:w="2000"/>
        <w:gridCol w:w="6379"/>
      </w:tblGrid>
      <w:tr w14:paraId="58F112CD">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6C5D468B">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vAlign w:val="center"/>
          </w:tcPr>
          <w:p w14:paraId="32886EDB">
            <w:pPr>
              <w:jc w:val="center"/>
              <w:rPr>
                <w:rFonts w:cs="宋体"/>
                <w:b/>
                <w:bCs/>
                <w:sz w:val="18"/>
                <w:szCs w:val="18"/>
              </w:rPr>
            </w:pPr>
            <w:r>
              <w:rPr>
                <w:rFonts w:hint="eastAsia" w:cs="宋体"/>
                <w:b/>
                <w:bCs/>
                <w:sz w:val="18"/>
                <w:szCs w:val="18"/>
              </w:rPr>
              <w:t>特点和适用工况</w:t>
            </w:r>
          </w:p>
        </w:tc>
      </w:tr>
      <w:tr w14:paraId="28B75964">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133F531C">
            <w:pPr>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1C51AE2">
            <w:pPr>
              <w:rPr>
                <w:rFonts w:cs="宋体"/>
                <w:sz w:val="18"/>
                <w:szCs w:val="18"/>
              </w:rPr>
            </w:pPr>
            <w:r>
              <w:rPr>
                <w:rFonts w:hint="eastAsia" w:cs="宋体"/>
                <w:sz w:val="18"/>
                <w:szCs w:val="18"/>
              </w:rPr>
              <w:t>简单的工业流场和热交换模拟，无较大压力梯度、分离、强曲率流，适用于初始的参数研究</w:t>
            </w:r>
          </w:p>
        </w:tc>
      </w:tr>
      <w:tr w14:paraId="3BD34A05">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1D115E41">
            <w:pPr>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0268AA4">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750D5BAE">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036D0B08">
            <w:pPr>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E253B95">
            <w:pPr>
              <w:rPr>
                <w:rFonts w:cs="宋体"/>
                <w:sz w:val="18"/>
                <w:szCs w:val="18"/>
              </w:rPr>
            </w:pPr>
            <w:r>
              <w:rPr>
                <w:rFonts w:hint="eastAsia" w:cs="宋体"/>
                <w:sz w:val="18"/>
                <w:szCs w:val="18"/>
              </w:rPr>
              <w:t>旋转流动、强逆压梯度的边界层流动、流动分离和二次流，类似于RNG</w:t>
            </w:r>
          </w:p>
        </w:tc>
      </w:tr>
    </w:tbl>
    <w:p w14:paraId="1A43F571">
      <w:pPr>
        <w:pStyle w:val="4"/>
        <w:numPr>
          <w:ilvl w:val="1"/>
          <w:numId w:val="3"/>
        </w:numPr>
      </w:pPr>
      <w:bookmarkStart w:id="67" w:name="_Toc452108767"/>
      <w:bookmarkStart w:id="68" w:name="_Toc451698939"/>
      <w:bookmarkStart w:id="69" w:name="_Toc6746"/>
      <w:r>
        <w:rPr>
          <w:rFonts w:hint="eastAsia"/>
        </w:rPr>
        <w:t>求解计算</w:t>
      </w:r>
      <w:bookmarkEnd w:id="67"/>
      <w:bookmarkEnd w:id="68"/>
      <w:bookmarkEnd w:id="69"/>
    </w:p>
    <w:p w14:paraId="35B9397D">
      <w:pPr>
        <w:pStyle w:val="5"/>
      </w:pPr>
      <w:r>
        <w:rPr>
          <w:rFonts w:hint="eastAsia"/>
        </w:rPr>
        <w:t>数学模型</w:t>
      </w:r>
    </w:p>
    <w:p w14:paraId="3661DC3D">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45B02BE8">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2E46FAF6">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49E905E4">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4.5</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799A35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8893882">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6CE326D7">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6AD07009">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4BB734AD">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4C43CE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6D60640">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57F92E96">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5BE7C189">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3BDE35AD">
            <w:pPr>
              <w:widowControl w:val="0"/>
              <w:jc w:val="both"/>
              <w:rPr>
                <w:rFonts w:cs="Calibri"/>
                <w:kern w:val="2"/>
                <w:sz w:val="18"/>
                <w:szCs w:val="18"/>
              </w:rPr>
            </w:pPr>
            <w:r>
              <w:rPr>
                <w:sz w:val="18"/>
                <w:szCs w:val="18"/>
              </w:rPr>
              <w:t>0</w:t>
            </w:r>
          </w:p>
        </w:tc>
      </w:tr>
      <w:tr w14:paraId="64CBC0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982EC51">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D450619">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A846EC5">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DBC7203">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1EE392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85A30B2">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AE90F01">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EA0871E">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9A0A26A">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4C4599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746C1DA">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68EC64E">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A408EE8">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602816A">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0B1486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D6EAFE5">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29E92B1C">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2E21173">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6D60958">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53520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1AFE539">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4FC76C09">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B6BC815">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E061A90">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537C41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5485A6FB">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3EB0FA1A">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1926890A">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62594CD3">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247E8CCE">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2E1AB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713AFCB1">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0BFF613B">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0FFFA63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7E0E0405">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108D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4AC7D87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6B0C37F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64D0755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34940DB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53E8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67FCD74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6C271BC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1479D6E0">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120C6E37">
            <w:pPr>
              <w:pStyle w:val="3"/>
              <w:spacing w:line="240" w:lineRule="atLeast"/>
              <w:ind w:firstLine="0" w:firstLineChars="0"/>
              <w:jc w:val="left"/>
              <w:rPr>
                <w:rFonts w:ascii="微软雅黑" w:hAnsi="微软雅黑" w:eastAsia="微软雅黑"/>
                <w:sz w:val="18"/>
                <w:szCs w:val="18"/>
                <w:lang w:val="en-US"/>
              </w:rPr>
            </w:pPr>
          </w:p>
        </w:tc>
      </w:tr>
      <w:tr w14:paraId="2C0C1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5375CC48">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172C6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008AB9BC">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7832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3E905AA7">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5A5F453C">
      <w:pPr>
        <w:pStyle w:val="3"/>
        <w:ind w:firstLine="525" w:firstLineChars="250"/>
        <w:rPr>
          <w:rFonts w:ascii="微软雅黑" w:hAnsi="微软雅黑" w:eastAsia="微软雅黑"/>
        </w:rPr>
      </w:pPr>
    </w:p>
    <w:p w14:paraId="0A4FFB14">
      <w:pPr>
        <w:pStyle w:val="5"/>
      </w:pPr>
      <w:r>
        <w:rPr>
          <w:rFonts w:hint="eastAsia"/>
        </w:rPr>
        <w:t>算法说明</w:t>
      </w:r>
    </w:p>
    <w:p w14:paraId="3767C5BC">
      <w:pPr>
        <w:pStyle w:val="3"/>
        <w:ind w:firstLine="420"/>
        <w:rPr>
          <w:rFonts w:ascii="微软雅黑" w:hAnsi="微软雅黑" w:eastAsia="微软雅黑"/>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1B0C8969">
      <w:pPr>
        <w:pStyle w:val="4"/>
      </w:pPr>
      <w:bookmarkStart w:id="72" w:name="_Toc509844747"/>
      <w:bookmarkStart w:id="73" w:name="_Toc22225"/>
      <w:r>
        <w:rPr>
          <w:rFonts w:hint="eastAsia"/>
        </w:rPr>
        <w:t>风速放大系数计算</w:t>
      </w:r>
      <w:bookmarkEnd w:id="72"/>
      <w:bookmarkEnd w:id="73"/>
    </w:p>
    <w:p w14:paraId="0747B4C1">
      <w:pPr>
        <w:pStyle w:val="3"/>
        <w:ind w:firstLine="420"/>
        <w:rPr>
          <w:rFonts w:ascii="微软雅黑" w:hAnsi="微软雅黑" w:eastAsia="微软雅黑"/>
          <w:lang w:val="en-US"/>
        </w:rPr>
      </w:pPr>
      <w:r>
        <w:rPr>
          <w:rFonts w:hint="eastAsia" w:ascii="微软雅黑" w:hAnsi="微软雅黑" w:eastAsia="微软雅黑"/>
          <w:lang w:val="en-US"/>
        </w:rPr>
        <w:t>风速放大系数反映了高层建筑对风速的放大作用，通常指建筑物周围离地面高</w:t>
      </w:r>
      <w:r>
        <w:rPr>
          <w:rFonts w:ascii="微软雅黑" w:hAnsi="微软雅黑" w:eastAsia="微软雅黑"/>
          <w:lang w:val="en-US"/>
        </w:rPr>
        <w:t>1.5m</w:t>
      </w:r>
      <w:r>
        <w:rPr>
          <w:rFonts w:hint="eastAsia" w:ascii="微软雅黑" w:hAnsi="微软雅黑" w:eastAsia="微软雅黑"/>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288E3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574C0630">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1BB0E1FE">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466BC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48614269">
            <w:pPr>
              <w:spacing w:line="360" w:lineRule="exact"/>
              <w:rPr>
                <w:lang w:val="en-US"/>
              </w:rPr>
            </w:pPr>
          </w:p>
        </w:tc>
        <w:tc>
          <w:tcPr>
            <w:tcW w:w="1832" w:type="dxa"/>
            <w:vAlign w:val="center"/>
          </w:tcPr>
          <w:p w14:paraId="72510EF2">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10A14D6C">
      <w:pPr>
        <w:pStyle w:val="3"/>
        <w:ind w:firstLine="420"/>
        <w:rPr>
          <w:rFonts w:ascii="微软雅黑" w:hAnsi="微软雅黑" w:eastAsia="微软雅黑"/>
          <w:lang w:val="en-US"/>
        </w:rPr>
      </w:pPr>
      <w:r>
        <w:rPr>
          <w:rFonts w:hint="eastAsia" w:ascii="微软雅黑" w:hAnsi="微软雅黑" w:eastAsia="微软雅黑"/>
          <w:lang w:val="en-US"/>
        </w:rPr>
        <w:t>其中：</w:t>
      </w:r>
    </w:p>
    <w:p w14:paraId="4A75841C">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2.7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ascii="微软雅黑" w:hAnsi="微软雅黑" w:eastAsia="微软雅黑"/>
        </w:rPr>
        <w:t>——风速放大系数；</w:t>
      </w:r>
    </w:p>
    <w:p w14:paraId="034C2C9E">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75pt;width:23.25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77F537A5">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18.75pt;width:23.25pt;" o:ole="t" filled="f" o:preferrelative="t" stroked="f" coordsize="21600,21600">
            <v:path/>
            <v:fill on="f" focussize="0,0"/>
            <v:stroke on="f" joinstyle="miter"/>
            <v:imagedata r:id="rId26" o:title=""/>
            <o:lock v:ext="edit" aspectratio="t"/>
            <w10:wrap type="none"/>
            <w10:anchorlock/>
          </v:shape>
          <o:OLEObject Type="Embed" ProgID="Equation.3" ShapeID="_x0000_i1030" DrawAspect="Content" ObjectID="_1468075730" r:id="rId25">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4B0596E0">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18.75pt;width:18.75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1" r:id="rId27">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2CB487AF">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70B5A3D3">
      <w:pPr>
        <w:pStyle w:val="2"/>
        <w:rPr>
          <w:rFonts w:ascii="微软雅黑" w:hAnsi="微软雅黑"/>
        </w:rPr>
      </w:pPr>
      <w:bookmarkStart w:id="75" w:name="_Toc452108768"/>
      <w:bookmarkStart w:id="76" w:name="_Toc25737"/>
      <w:r>
        <w:rPr>
          <w:rFonts w:hint="eastAsia" w:ascii="微软雅黑" w:hAnsi="微软雅黑"/>
        </w:rPr>
        <w:t>结果</w:t>
      </w:r>
      <w:r>
        <w:rPr>
          <w:rFonts w:ascii="微软雅黑" w:hAnsi="微软雅黑"/>
        </w:rPr>
        <w:t>分析</w:t>
      </w:r>
      <w:bookmarkEnd w:id="75"/>
      <w:bookmarkEnd w:id="76"/>
    </w:p>
    <w:p w14:paraId="4B88F99A">
      <w:pPr>
        <w:pStyle w:val="4"/>
        <w:rPr>
          <w:szCs w:val="21"/>
        </w:rPr>
      </w:pPr>
      <w:bookmarkStart w:id="77" w:name="_Toc11766"/>
      <w:r>
        <w:rPr>
          <w:rFonts w:hint="eastAsia"/>
          <w:szCs w:val="21"/>
        </w:rPr>
        <w:t>工况</w:t>
      </w:r>
      <w:r>
        <w:rPr>
          <w:szCs w:val="21"/>
        </w:rPr>
        <w:t>表</w:t>
      </w:r>
      <w:bookmarkEnd w:id="77"/>
    </w:p>
    <w:p w14:paraId="00C72283">
      <w:pPr>
        <w:pStyle w:val="3"/>
        <w:ind w:firstLine="420"/>
        <w:rPr>
          <w:rFonts w:ascii="微软雅黑" w:hAnsi="微软雅黑" w:eastAsia="微软雅黑"/>
        </w:rPr>
      </w:pPr>
      <w:r>
        <w:rPr>
          <w:rFonts w:hint="eastAsia" w:ascii="微软雅黑" w:hAnsi="微软雅黑" w:eastAsia="微软雅黑"/>
        </w:rPr>
        <w:t>本结果基于以下几个工况进行计算：</w:t>
      </w:r>
    </w:p>
    <w:tbl>
      <w:tblPr>
        <w:tblStyle w:val="2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462EA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tcPr>
          <w:p w14:paraId="7AC4FE09">
            <w:pPr>
              <w:spacing w:line="400" w:lineRule="exact"/>
              <w:jc w:val="center"/>
              <w:rPr>
                <w:sz w:val="18"/>
                <w:szCs w:val="18"/>
              </w:rPr>
            </w:pPr>
            <w:bookmarkStart w:id="78" w:name="计算工况表"/>
            <w:r>
              <w:rPr>
                <w:rFonts w:hint="eastAsia"/>
                <w:sz w:val="18"/>
                <w:szCs w:val="18"/>
              </w:rPr>
              <w:t>序号</w:t>
            </w:r>
          </w:p>
        </w:tc>
        <w:tc>
          <w:tcPr>
            <w:tcW w:w="1166" w:type="pct"/>
            <w:shd w:val="clear" w:color="auto" w:fill="E6E6E6"/>
            <w:vAlign w:val="center"/>
          </w:tcPr>
          <w:p w14:paraId="06BD0BD2">
            <w:pPr>
              <w:spacing w:line="400" w:lineRule="exact"/>
              <w:jc w:val="center"/>
              <w:rPr>
                <w:sz w:val="18"/>
                <w:szCs w:val="18"/>
              </w:rPr>
            </w:pPr>
            <w:r>
              <w:rPr>
                <w:rFonts w:hint="eastAsia"/>
                <w:sz w:val="18"/>
                <w:szCs w:val="18"/>
              </w:rPr>
              <w:t>季节</w:t>
            </w:r>
          </w:p>
        </w:tc>
        <w:tc>
          <w:tcPr>
            <w:tcW w:w="1187" w:type="pct"/>
            <w:shd w:val="clear" w:color="auto" w:fill="E6E6E6"/>
            <w:vAlign w:val="center"/>
          </w:tcPr>
          <w:p w14:paraId="5FD3ACDB">
            <w:pPr>
              <w:spacing w:line="400" w:lineRule="exact"/>
              <w:jc w:val="center"/>
              <w:rPr>
                <w:sz w:val="18"/>
                <w:szCs w:val="18"/>
              </w:rPr>
            </w:pPr>
            <w:r>
              <w:rPr>
                <w:rFonts w:hint="eastAsia"/>
                <w:sz w:val="18"/>
                <w:szCs w:val="18"/>
              </w:rPr>
              <w:t>风速</w:t>
            </w:r>
            <w:r>
              <w:rPr>
                <w:sz w:val="18"/>
                <w:szCs w:val="18"/>
              </w:rPr>
              <w:t>(m/s)</w:t>
            </w:r>
          </w:p>
        </w:tc>
        <w:tc>
          <w:tcPr>
            <w:tcW w:w="994" w:type="pct"/>
            <w:shd w:val="clear" w:color="auto" w:fill="E6E6E6"/>
          </w:tcPr>
          <w:p w14:paraId="0922AA5E">
            <w:pPr>
              <w:spacing w:line="400" w:lineRule="exact"/>
              <w:jc w:val="center"/>
              <w:rPr>
                <w:sz w:val="18"/>
                <w:szCs w:val="18"/>
              </w:rPr>
            </w:pPr>
            <w:r>
              <w:rPr>
                <w:rFonts w:hint="eastAsia"/>
                <w:sz w:val="18"/>
                <w:szCs w:val="18"/>
              </w:rPr>
              <w:t>风向</w:t>
            </w:r>
          </w:p>
        </w:tc>
        <w:tc>
          <w:tcPr>
            <w:tcW w:w="994" w:type="pct"/>
            <w:shd w:val="clear" w:color="auto" w:fill="E6E6E6"/>
          </w:tcPr>
          <w:p w14:paraId="3F20FCF4">
            <w:pPr>
              <w:spacing w:line="400" w:lineRule="exact"/>
              <w:jc w:val="center"/>
              <w:rPr>
                <w:sz w:val="18"/>
                <w:szCs w:val="18"/>
              </w:rPr>
            </w:pPr>
            <w:r>
              <w:rPr>
                <w:rFonts w:hint="eastAsia"/>
                <w:sz w:val="18"/>
                <w:szCs w:val="18"/>
              </w:rPr>
              <w:t>风向（°</w:t>
            </w:r>
            <w:r>
              <w:rPr>
                <w:sz w:val="18"/>
                <w:szCs w:val="18"/>
              </w:rPr>
              <w:t>）</w:t>
            </w:r>
          </w:p>
        </w:tc>
      </w:tr>
      <w:tr w14:paraId="4BB6F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tcPr>
          <w:p w14:paraId="7DFC5F38">
            <w:pPr>
              <w:spacing w:line="400" w:lineRule="exact"/>
              <w:jc w:val="center"/>
              <w:rPr>
                <w:sz w:val="18"/>
                <w:szCs w:val="18"/>
              </w:rPr>
            </w:pPr>
            <w:r>
              <w:rPr>
                <w:sz w:val="18"/>
                <w:szCs w:val="18"/>
              </w:rPr>
              <w:t>1</w:t>
            </w:r>
          </w:p>
        </w:tc>
        <w:tc>
          <w:tcPr>
            <w:tcW w:w="1166" w:type="pct"/>
            <w:vAlign w:val="center"/>
          </w:tcPr>
          <w:p w14:paraId="6C05CC56">
            <w:pPr>
              <w:spacing w:line="400" w:lineRule="exact"/>
              <w:jc w:val="center"/>
              <w:rPr>
                <w:sz w:val="18"/>
                <w:szCs w:val="18"/>
              </w:rPr>
            </w:pPr>
            <w:r>
              <w:rPr>
                <w:sz w:val="18"/>
                <w:szCs w:val="18"/>
              </w:rPr>
              <w:t>冬季</w:t>
            </w:r>
          </w:p>
        </w:tc>
        <w:tc>
          <w:tcPr>
            <w:tcW w:w="1187" w:type="pct"/>
            <w:vAlign w:val="center"/>
          </w:tcPr>
          <w:p w14:paraId="5AA936E5">
            <w:pPr>
              <w:spacing w:line="400" w:lineRule="exact"/>
              <w:jc w:val="center"/>
              <w:rPr>
                <w:sz w:val="18"/>
                <w:szCs w:val="18"/>
              </w:rPr>
            </w:pPr>
            <w:r>
              <w:rPr>
                <w:sz w:val="18"/>
                <w:szCs w:val="18"/>
              </w:rPr>
              <w:t>4.70</w:t>
            </w:r>
          </w:p>
        </w:tc>
        <w:tc>
          <w:tcPr>
            <w:tcW w:w="994" w:type="pct"/>
          </w:tcPr>
          <w:p w14:paraId="71969117">
            <w:pPr>
              <w:spacing w:line="400" w:lineRule="exact"/>
              <w:jc w:val="center"/>
              <w:rPr>
                <w:sz w:val="18"/>
                <w:szCs w:val="18"/>
              </w:rPr>
            </w:pPr>
            <w:r>
              <w:rPr>
                <w:sz w:val="18"/>
                <w:szCs w:val="18"/>
              </w:rPr>
              <w:t>WSW</w:t>
            </w:r>
          </w:p>
        </w:tc>
        <w:tc>
          <w:tcPr>
            <w:tcW w:w="994" w:type="pct"/>
          </w:tcPr>
          <w:p w14:paraId="3079EE9A">
            <w:pPr>
              <w:spacing w:line="400" w:lineRule="exact"/>
              <w:jc w:val="center"/>
              <w:rPr>
                <w:sz w:val="18"/>
                <w:szCs w:val="18"/>
              </w:rPr>
            </w:pPr>
            <w:r>
              <w:rPr>
                <w:sz w:val="18"/>
                <w:szCs w:val="18"/>
              </w:rPr>
              <w:t>202.5</w:t>
            </w:r>
          </w:p>
        </w:tc>
      </w:tr>
      <w:bookmarkEnd w:id="78"/>
    </w:tbl>
    <w:p w14:paraId="7AC4E157">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265A31F9">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2736000" cy="2649600"/>
                    </a:xfrm>
                    <a:prstGeom prst="rect">
                      <a:avLst/>
                    </a:prstGeom>
                  </pic:spPr>
                </pic:pic>
              </a:graphicData>
            </a:graphic>
          </wp:inline>
        </w:drawing>
      </w:r>
    </w:p>
    <w:p w14:paraId="531B9F77">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28884DE6">
      <w:pPr>
        <w:pStyle w:val="4"/>
      </w:pPr>
      <w:bookmarkStart w:id="79" w:name="_Toc509844750"/>
      <w:bookmarkStart w:id="80" w:name="_Toc1568"/>
      <w:r>
        <w:rPr>
          <w:rFonts w:hint="eastAsia"/>
        </w:rPr>
        <w:t>冬季工况</w:t>
      </w:r>
      <w:bookmarkEnd w:id="79"/>
      <w:bookmarkEnd w:id="80"/>
    </w:p>
    <w:p w14:paraId="4BC1F312">
      <w:pPr>
        <w:ind w:firstLine="420" w:firstLineChars="200"/>
        <w:jc w:val="both"/>
      </w:pPr>
      <w:r>
        <w:rPr>
          <w:rFonts w:hint="eastAsia"/>
          <w:lang w:val="en-US"/>
        </w:rPr>
        <w:t>本项目冬季工况的入口边界风速为</w:t>
      </w:r>
      <w:bookmarkStart w:id="81" w:name="冬季入口边界风速"/>
      <w:r>
        <w:rPr>
          <w:rFonts w:hint="eastAsia"/>
        </w:rPr>
        <w:t>4.70</w:t>
      </w:r>
      <w:bookmarkEnd w:id="81"/>
      <w:r>
        <w:t>m/s</w:t>
      </w:r>
      <w:r>
        <w:rPr>
          <w:rFonts w:hint="eastAsia"/>
        </w:rPr>
        <w:t>，风向为</w:t>
      </w:r>
      <w:bookmarkStart w:id="82" w:name="冬季入口边界风向"/>
      <w:r>
        <w:t>WSW</w:t>
      </w:r>
      <w:bookmarkEnd w:id="82"/>
      <w:r>
        <w:rPr>
          <w:rFonts w:hint="eastAsia"/>
        </w:rPr>
        <w:t>。</w:t>
      </w:r>
    </w:p>
    <w:p w14:paraId="19A4CA6E">
      <w:pPr>
        <w:pStyle w:val="5"/>
      </w:pPr>
      <w:bookmarkStart w:id="83" w:name="_Toc509844751"/>
      <w:r>
        <w:rPr>
          <w:rFonts w:hint="eastAsia"/>
        </w:rPr>
        <w:t>风速达标分析</w:t>
      </w:r>
      <w:bookmarkEnd w:id="83"/>
      <w:r>
        <w:rPr>
          <w:rFonts w:hint="eastAsia"/>
        </w:rPr>
        <w:t xml:space="preserve"> </w:t>
      </w:r>
    </w:p>
    <w:p w14:paraId="7783E118">
      <w:pPr>
        <w:pStyle w:val="30"/>
      </w:pPr>
      <w:r>
        <w:rPr>
          <w:rFonts w:hint="eastAsia"/>
        </w:rPr>
        <w:t>下图为整个计算域内风速分布云图，参考图中速度分布可以对项目中建筑布局进行优化。计算域内建筑周围如果有风速超限区域，图中会用速度上限值为5m/s的黑色等值线标示。</w:t>
      </w:r>
    </w:p>
    <w:p w14:paraId="05EF5076">
      <w:pPr>
        <w:pStyle w:val="30"/>
      </w:pPr>
      <w:r>
        <w:rPr>
          <w:rFonts w:hint="eastAsia"/>
        </w:rPr>
        <w:t>分析下列图数据，</w:t>
      </w:r>
      <w:bookmarkStart w:id="84" w:name="冬季工况人行区风速分析结论"/>
      <w:bookmarkEnd w:id="84"/>
      <w:r>
        <w:t>未标示出超标区域，可知人行区域风速为最大值为4.85m/s，小于5m/s，</w:t>
      </w:r>
      <w:r>
        <w:rPr>
          <w:color w:val="0000FF"/>
        </w:rPr>
        <w:t>满足</w:t>
      </w:r>
      <w:r>
        <w:t>绿标要求。</w:t>
      </w:r>
    </w:p>
    <w:p w14:paraId="5D89B018">
      <w:pPr>
        <w:pStyle w:val="30"/>
      </w:pPr>
      <w:bookmarkStart w:id="85" w:name="冬季工况人行区风速云图"/>
      <w:bookmarkEnd w:id="85"/>
      <w:r>
        <w:drawing>
          <wp:inline distT="0" distB="0" distL="0" distR="0">
            <wp:extent cx="5667375" cy="339090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0"/>
                    <a:stretch>
                      <a:fillRect/>
                    </a:stretch>
                  </pic:blipFill>
                  <pic:spPr>
                    <a:xfrm>
                      <a:off x="0" y="0"/>
                      <a:ext cx="5667375" cy="3390900"/>
                    </a:xfrm>
                    <a:prstGeom prst="rect">
                      <a:avLst/>
                    </a:prstGeom>
                  </pic:spPr>
                </pic:pic>
              </a:graphicData>
            </a:graphic>
          </wp:inline>
        </w:drawing>
      </w:r>
    </w:p>
    <w:p w14:paraId="3C36816E">
      <w:pPr>
        <w:pStyle w:val="30"/>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计算域内-1.5米高度水平面风速云图-冬季</w:t>
      </w:r>
    </w:p>
    <w:p w14:paraId="02D6F8D2">
      <w:pPr>
        <w:pStyle w:val="3"/>
        <w:ind w:firstLine="420"/>
        <w:rPr>
          <w:rFonts w:ascii="微软雅黑" w:hAnsi="微软雅黑" w:eastAsia="微软雅黑"/>
          <w:lang w:val="en-US"/>
        </w:rPr>
      </w:pPr>
    </w:p>
    <w:p w14:paraId="670EE76F">
      <w:pPr>
        <w:pStyle w:val="5"/>
      </w:pPr>
      <w:bookmarkStart w:id="86" w:name="_Toc509844752"/>
      <w:r>
        <w:rPr>
          <w:rFonts w:hint="eastAsia"/>
        </w:rPr>
        <w:t>风速放大系数达标分析</w:t>
      </w:r>
      <w:bookmarkEnd w:id="86"/>
    </w:p>
    <w:p w14:paraId="7C86576D">
      <w:pPr>
        <w:pStyle w:val="3"/>
        <w:ind w:firstLine="420"/>
        <w:jc w:val="left"/>
        <w:rPr>
          <w:rFonts w:ascii="微软雅黑" w:hAnsi="微软雅黑" w:eastAsia="微软雅黑"/>
          <w:lang w:val="en-US"/>
        </w:rPr>
      </w:pPr>
      <w:r>
        <w:rPr>
          <w:rFonts w:hint="eastAsia" w:ascii="微软雅黑" w:hAnsi="微软雅黑" w:eastAsia="微软雅黑"/>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87" w:name="冬季工况人行区风速放大系数分析结论"/>
      <w:bookmarkEnd w:id="87"/>
      <w:r>
        <w:rPr>
          <w:rFonts w:ascii="微软雅黑" w:hAnsi="微软雅黑" w:eastAsia="微软雅黑"/>
          <w:lang w:val="en-US"/>
        </w:rPr>
        <w:t>图中未标示出风速放大系数超标区域，因此可知人行区域风速放大系数最大值为1.85，小于2，</w:t>
      </w:r>
      <w:r>
        <w:rPr>
          <w:rFonts w:ascii="微软雅黑" w:hAnsi="微软雅黑" w:eastAsia="微软雅黑"/>
          <w:color w:val="0000FF"/>
          <w:lang w:val="en-US"/>
        </w:rPr>
        <w:t>满足</w:t>
      </w:r>
      <w:r>
        <w:rPr>
          <w:rFonts w:ascii="微软雅黑" w:hAnsi="微软雅黑" w:eastAsia="微软雅黑"/>
          <w:lang w:val="en-US"/>
        </w:rPr>
        <w:t>绿标要求。</w:t>
      </w:r>
    </w:p>
    <w:p w14:paraId="2C5E75A3">
      <w:pPr>
        <w:jc w:val="center"/>
        <w:rPr>
          <w:rFonts w:ascii="微软雅黑" w:hAnsi="微软雅黑" w:eastAsia="微软雅黑"/>
        </w:rPr>
      </w:pPr>
      <w:bookmarkStart w:id="88" w:name="冬季工况人行区风速放大系数云图"/>
      <w:bookmarkEnd w:id="88"/>
      <w:r>
        <w:drawing>
          <wp:inline distT="0" distB="0" distL="0" distR="0">
            <wp:extent cx="5667375" cy="33909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1"/>
                    <a:stretch>
                      <a:fillRect/>
                    </a:stretch>
                  </pic:blipFill>
                  <pic:spPr>
                    <a:xfrm>
                      <a:off x="0" y="0"/>
                      <a:ext cx="5667375" cy="3390900"/>
                    </a:xfrm>
                    <a:prstGeom prst="rect">
                      <a:avLst/>
                    </a:prstGeom>
                  </pic:spPr>
                </pic:pic>
              </a:graphicData>
            </a:graphic>
          </wp:inline>
        </w:drawing>
      </w:r>
    </w:p>
    <w:p w14:paraId="01BE29D6">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计算域内-1.5米高处风速放大系数云图</w:t>
      </w:r>
    </w:p>
    <w:p w14:paraId="6CF0EF13">
      <w:pPr>
        <w:pStyle w:val="3"/>
        <w:ind w:firstLine="420"/>
        <w:rPr>
          <w:rFonts w:ascii="微软雅黑" w:hAnsi="微软雅黑" w:eastAsia="微软雅黑"/>
          <w:lang w:val="en-US"/>
        </w:rPr>
      </w:pPr>
    </w:p>
    <w:p w14:paraId="7772364B">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w:t>
      </w:r>
    </w:p>
    <w:p w14:paraId="7895B550">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1）计算域内结果云图中图例上限为软件默认输出，图例上限也可按需求在结果浏览中调整。</w:t>
      </w:r>
    </w:p>
    <w:p w14:paraId="2804BD7C">
      <w:pPr>
        <w:ind w:firstLine="360" w:firstLineChars="200"/>
        <w:rPr>
          <w:sz w:val="18"/>
          <w:szCs w:val="18"/>
          <w:lang w:val="en-US"/>
        </w:rPr>
      </w:pPr>
      <w:r>
        <w:rPr>
          <w:rFonts w:hint="eastAsia"/>
          <w:sz w:val="18"/>
          <w:szCs w:val="18"/>
          <w:lang w:val="en-US"/>
        </w:rPr>
        <w:t>2）通常将1.5米作为一般人群的参考行走高度，也可酌情调整人行走高度。</w:t>
      </w:r>
      <w:bookmarkStart w:id="89" w:name="_Toc509844757"/>
      <w:bookmarkEnd w:id="89"/>
      <w:bookmarkStart w:id="90" w:name="_Toc509844755"/>
      <w:bookmarkEnd w:id="90"/>
      <w:bookmarkStart w:id="91" w:name="_Toc509844754"/>
      <w:bookmarkEnd w:id="91"/>
      <w:bookmarkStart w:id="92" w:name="_Toc509844756"/>
      <w:bookmarkEnd w:id="92"/>
    </w:p>
    <w:p w14:paraId="44F39E33">
      <w:pPr>
        <w:pStyle w:val="3"/>
        <w:ind w:firstLine="420"/>
        <w:rPr>
          <w:rFonts w:ascii="微软雅黑" w:hAnsi="微软雅黑" w:eastAsia="微软雅黑"/>
          <w:lang w:val="en-US"/>
        </w:rPr>
      </w:pPr>
    </w:p>
    <w:p w14:paraId="381D5C90">
      <w:pPr>
        <w:pStyle w:val="5"/>
      </w:pPr>
      <w:bookmarkStart w:id="93" w:name="_Toc509844753"/>
      <w:r>
        <w:rPr>
          <w:rFonts w:hint="eastAsia"/>
        </w:rPr>
        <w:t>冬季工况风速/风速放大系数达标</w:t>
      </w:r>
      <w:bookmarkEnd w:id="93"/>
      <w:r>
        <w:rPr>
          <w:rFonts w:hint="eastAsia"/>
        </w:rPr>
        <w:t>结果汇总</w:t>
      </w:r>
    </w:p>
    <w:p w14:paraId="40201BAD">
      <w:pPr>
        <w:pStyle w:val="3"/>
        <w:ind w:firstLine="420"/>
        <w:rPr>
          <w:rFonts w:ascii="微软雅黑" w:hAnsi="微软雅黑" w:eastAsia="微软雅黑"/>
        </w:rPr>
      </w:pPr>
      <w:r>
        <w:rPr>
          <w:rFonts w:hint="eastAsia" w:ascii="微软雅黑" w:hAnsi="微软雅黑" w:eastAsia="微软雅黑"/>
          <w:lang w:val="en-US"/>
        </w:rPr>
        <w:t>综合上述冬季工况风场中风速和风速放大系数的计算分析，将分析结果汇总如下表：</w:t>
      </w:r>
    </w:p>
    <w:p w14:paraId="05FA8BB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冬季工况风速/风速放大系数达标分析汇总</w:t>
      </w:r>
    </w:p>
    <w:tbl>
      <w:tblPr>
        <w:tblStyle w:val="21"/>
        <w:tblW w:w="7791" w:type="dxa"/>
        <w:jc w:val="center"/>
        <w:tblLayout w:type="autofit"/>
        <w:tblCellMar>
          <w:top w:w="0" w:type="dxa"/>
          <w:left w:w="108" w:type="dxa"/>
          <w:bottom w:w="0" w:type="dxa"/>
          <w:right w:w="108" w:type="dxa"/>
        </w:tblCellMar>
      </w:tblPr>
      <w:tblGrid>
        <w:gridCol w:w="2405"/>
        <w:gridCol w:w="1985"/>
        <w:gridCol w:w="2126"/>
        <w:gridCol w:w="1275"/>
      </w:tblGrid>
      <w:tr w14:paraId="606FF766">
        <w:tblPrEx>
          <w:tblCellMar>
            <w:top w:w="0" w:type="dxa"/>
            <w:left w:w="108" w:type="dxa"/>
            <w:bottom w:w="0" w:type="dxa"/>
            <w:right w:w="108" w:type="dxa"/>
          </w:tblCellMar>
        </w:tblPrEx>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E462B">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评价内容</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7D7EDFFA">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标准要求限值</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10EC9B34">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06FE4151">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达标判断</w:t>
            </w:r>
          </w:p>
        </w:tc>
      </w:tr>
      <w:tr w14:paraId="78A03819">
        <w:tblPrEx>
          <w:tblCellMar>
            <w:top w:w="0" w:type="dxa"/>
            <w:left w:w="108" w:type="dxa"/>
            <w:bottom w:w="0" w:type="dxa"/>
            <w:right w:w="108" w:type="dxa"/>
          </w:tblCellMar>
        </w:tblPrEx>
        <w:trPr>
          <w:trHeight w:val="270"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14:paraId="771DBACF">
            <w:pPr>
              <w:jc w:val="center"/>
              <w:rPr>
                <w:rFonts w:ascii="微软雅黑" w:hAnsi="微软雅黑" w:eastAsia="微软雅黑" w:cs="宋体"/>
                <w:sz w:val="18"/>
                <w:szCs w:val="18"/>
              </w:rPr>
            </w:pPr>
            <w:r>
              <w:rPr>
                <w:rFonts w:hint="eastAsia" w:ascii="微软雅黑" w:hAnsi="微软雅黑" w:eastAsia="微软雅黑" w:cs="宋体"/>
                <w:sz w:val="18"/>
                <w:szCs w:val="18"/>
              </w:rPr>
              <w:t>风速</w:t>
            </w:r>
          </w:p>
        </w:tc>
        <w:tc>
          <w:tcPr>
            <w:tcW w:w="1985" w:type="dxa"/>
            <w:tcBorders>
              <w:top w:val="nil"/>
              <w:left w:val="nil"/>
              <w:bottom w:val="single" w:color="auto" w:sz="4" w:space="0"/>
              <w:right w:val="single" w:color="auto" w:sz="4" w:space="0"/>
            </w:tcBorders>
            <w:shd w:val="clear" w:color="auto" w:fill="auto"/>
            <w:noWrap/>
            <w:vAlign w:val="center"/>
          </w:tcPr>
          <w:p w14:paraId="01D92530">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5m/s</w:t>
            </w:r>
          </w:p>
        </w:tc>
        <w:tc>
          <w:tcPr>
            <w:tcW w:w="2126" w:type="dxa"/>
            <w:tcBorders>
              <w:top w:val="nil"/>
              <w:left w:val="nil"/>
              <w:bottom w:val="single" w:color="auto" w:sz="4" w:space="0"/>
              <w:right w:val="single" w:color="auto" w:sz="4" w:space="0"/>
            </w:tcBorders>
            <w:shd w:val="clear" w:color="auto" w:fill="auto"/>
            <w:noWrap/>
            <w:vAlign w:val="center"/>
          </w:tcPr>
          <w:p w14:paraId="4563B266">
            <w:pPr>
              <w:spacing w:line="240" w:lineRule="auto"/>
              <w:jc w:val="center"/>
              <w:rPr>
                <w:rFonts w:ascii="微软雅黑" w:hAnsi="微软雅黑" w:eastAsia="微软雅黑" w:cs="宋体"/>
                <w:color w:val="000000"/>
                <w:sz w:val="18"/>
                <w:szCs w:val="18"/>
                <w:lang w:val="en-US"/>
              </w:rPr>
            </w:pPr>
            <w:bookmarkStart w:id="94" w:name="冬季工况风速是否有超限区域"/>
            <w:r>
              <w:rPr>
                <w:rFonts w:hint="eastAsia" w:ascii="微软雅黑" w:hAnsi="微软雅黑" w:eastAsia="微软雅黑" w:cs="宋体"/>
                <w:color w:val="000000"/>
                <w:sz w:val="18"/>
                <w:szCs w:val="18"/>
                <w:lang w:val="en-US"/>
              </w:rPr>
              <w:t>否</w:t>
            </w:r>
            <w:bookmarkEnd w:id="94"/>
          </w:p>
        </w:tc>
        <w:tc>
          <w:tcPr>
            <w:tcW w:w="1275" w:type="dxa"/>
            <w:tcBorders>
              <w:top w:val="nil"/>
              <w:left w:val="nil"/>
              <w:bottom w:val="single" w:color="auto" w:sz="4" w:space="0"/>
              <w:right w:val="single" w:color="auto" w:sz="4" w:space="0"/>
            </w:tcBorders>
            <w:shd w:val="clear" w:color="auto" w:fill="auto"/>
            <w:noWrap/>
            <w:vAlign w:val="center"/>
          </w:tcPr>
          <w:p w14:paraId="7713C6FB">
            <w:pPr>
              <w:spacing w:line="240" w:lineRule="auto"/>
              <w:jc w:val="center"/>
              <w:rPr>
                <w:rFonts w:ascii="微软雅黑" w:hAnsi="微软雅黑" w:eastAsia="微软雅黑" w:cs="宋体"/>
                <w:color w:val="000000"/>
                <w:sz w:val="18"/>
                <w:szCs w:val="18"/>
                <w:lang w:val="en-US"/>
              </w:rPr>
            </w:pPr>
            <w:bookmarkStart w:id="95" w:name="冬季工况风速达标判断"/>
            <w:r>
              <w:rPr>
                <w:rFonts w:hint="eastAsia" w:ascii="微软雅黑" w:hAnsi="微软雅黑" w:eastAsia="微软雅黑" w:cs="宋体"/>
                <w:color w:val="000000"/>
                <w:sz w:val="18"/>
                <w:szCs w:val="18"/>
                <w:lang w:val="en-US"/>
              </w:rPr>
              <w:t>是</w:t>
            </w:r>
            <w:bookmarkEnd w:id="95"/>
          </w:p>
        </w:tc>
      </w:tr>
      <w:tr w14:paraId="50F8C03E">
        <w:tblPrEx>
          <w:tblCellMar>
            <w:top w:w="0" w:type="dxa"/>
            <w:left w:w="108" w:type="dxa"/>
            <w:bottom w:w="0" w:type="dxa"/>
            <w:right w:w="108" w:type="dxa"/>
          </w:tblCellMar>
        </w:tblPrEx>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D9F0D">
            <w:pPr>
              <w:jc w:val="center"/>
              <w:rPr>
                <w:rFonts w:ascii="微软雅黑" w:hAnsi="微软雅黑" w:eastAsia="微软雅黑" w:cs="宋体"/>
                <w:sz w:val="18"/>
                <w:szCs w:val="18"/>
              </w:rPr>
            </w:pPr>
            <w:r>
              <w:rPr>
                <w:rFonts w:hint="eastAsia" w:ascii="微软雅黑" w:hAnsi="微软雅黑" w:eastAsia="微软雅黑" w:cs="宋体"/>
                <w:sz w:val="18"/>
                <w:szCs w:val="18"/>
              </w:rPr>
              <w:t>风速放大系数</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1DC2C075">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2</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19B9601B">
            <w:pPr>
              <w:spacing w:line="240" w:lineRule="auto"/>
              <w:jc w:val="center"/>
              <w:rPr>
                <w:rFonts w:ascii="微软雅黑" w:hAnsi="微软雅黑" w:eastAsia="微软雅黑" w:cs="宋体"/>
                <w:color w:val="000000"/>
                <w:sz w:val="18"/>
                <w:szCs w:val="18"/>
                <w:lang w:val="en-US"/>
              </w:rPr>
            </w:pPr>
            <w:bookmarkStart w:id="96" w:name="冬季工况风速放大系数是否有超限区域"/>
            <w:r>
              <w:rPr>
                <w:rFonts w:hint="eastAsia" w:ascii="微软雅黑" w:hAnsi="微软雅黑" w:eastAsia="微软雅黑" w:cs="宋体"/>
                <w:color w:val="000000"/>
                <w:sz w:val="18"/>
                <w:szCs w:val="18"/>
                <w:lang w:val="en-US"/>
              </w:rPr>
              <w:t>否</w:t>
            </w:r>
            <w:bookmarkEnd w:id="96"/>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3289AA35">
            <w:pPr>
              <w:spacing w:line="240" w:lineRule="auto"/>
              <w:jc w:val="center"/>
              <w:rPr>
                <w:rFonts w:ascii="微软雅黑" w:hAnsi="微软雅黑" w:eastAsia="微软雅黑" w:cs="宋体"/>
                <w:color w:val="000000"/>
                <w:sz w:val="18"/>
                <w:szCs w:val="18"/>
                <w:lang w:val="en-US"/>
              </w:rPr>
            </w:pPr>
            <w:bookmarkStart w:id="97" w:name="冬季工况风速放大系数达标判断"/>
            <w:r>
              <w:rPr>
                <w:rFonts w:hint="eastAsia" w:ascii="微软雅黑" w:hAnsi="微软雅黑" w:eastAsia="微软雅黑" w:cs="宋体"/>
                <w:color w:val="000000"/>
                <w:sz w:val="18"/>
                <w:szCs w:val="18"/>
                <w:lang w:val="en-US"/>
              </w:rPr>
              <w:t>是</w:t>
            </w:r>
            <w:bookmarkEnd w:id="97"/>
          </w:p>
        </w:tc>
      </w:tr>
    </w:tbl>
    <w:p w14:paraId="04E24485">
      <w:pPr>
        <w:rPr>
          <w:rFonts w:ascii="微软雅黑" w:hAnsi="微软雅黑" w:eastAsia="微软雅黑"/>
        </w:rPr>
      </w:pPr>
    </w:p>
    <w:p w14:paraId="37DC363D">
      <w:pPr>
        <w:pStyle w:val="5"/>
      </w:pPr>
      <w:r>
        <w:rPr>
          <w:rFonts w:hint="eastAsia"/>
        </w:rPr>
        <w:t>建筑迎风面和背风面风压分析</w:t>
      </w:r>
    </w:p>
    <w:p w14:paraId="3B1EB58D">
      <w:pPr>
        <w:pStyle w:val="3"/>
        <w:ind w:firstLine="420"/>
        <w:rPr>
          <w:rFonts w:ascii="微软雅黑" w:hAnsi="微软雅黑" w:eastAsia="微软雅黑"/>
          <w:lang w:val="en-US"/>
        </w:rPr>
      </w:pPr>
      <w:r>
        <w:rPr>
          <w:rFonts w:hint="eastAsia" w:ascii="微软雅黑" w:hAnsi="微软雅黑" w:eastAsia="微软雅黑"/>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0C33ADD1">
      <w:pPr>
        <w:pStyle w:val="6"/>
        <w:rPr>
          <w:lang w:val="en-US"/>
        </w:rPr>
      </w:pPr>
      <w:r>
        <w:rPr>
          <w:rFonts w:hint="eastAsia"/>
          <w:lang w:val="en-US"/>
        </w:rPr>
        <w:t>建筑迎风面和背风面风压差计算方法</w:t>
      </w:r>
    </w:p>
    <w:p w14:paraId="3DC94333">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本项目采用面积加权法对建筑迎风面和背风面对应门窗的风压值进行计算，最后获得迎背风面门窗的风压差值。下面将以一个示意建筑为例说明具体计算过程。</w:t>
      </w:r>
    </w:p>
    <w:p w14:paraId="6BC4ED85">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3657600" cy="2924175"/>
            <wp:effectExtent l="0" t="0" r="0" b="9525"/>
            <wp:docPr id="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2"/>
                    <pic:cNvPicPr>
                      <a:picLocks noChangeAspect="1" noChangeArrowheads="1"/>
                    </pic:cNvPicPr>
                  </pic:nvPicPr>
                  <pic:blipFill>
                    <a:blip r:embed="rId3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43014C88">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 示意建筑平面图</w:t>
      </w:r>
    </w:p>
    <w:p w14:paraId="2D7B5AEB">
      <w:pPr>
        <w:pStyle w:val="3"/>
        <w:ind w:firstLine="420"/>
        <w:rPr>
          <w:rFonts w:ascii="微软雅黑" w:hAnsi="微软雅黑" w:eastAsia="微软雅黑"/>
          <w:lang w:val="en-US"/>
        </w:rPr>
      </w:pPr>
      <w:r>
        <w:rPr>
          <w:rFonts w:hint="eastAsia" w:ascii="微软雅黑" w:hAnsi="微软雅黑" w:eastAsia="微软雅黑"/>
          <w:lang w:val="en-US"/>
        </w:rPr>
        <w:t>以上图建筑第二层为例，迎风面窗户C1，C2，C3的平均风压值，通过每个窗户的平均风压和其窗户面积进行加权平均计算， 如下式：</w:t>
      </w:r>
    </w:p>
    <w:tbl>
      <w:tblPr>
        <w:tblStyle w:val="21"/>
        <w:tblW w:w="8359" w:type="dxa"/>
        <w:tblInd w:w="0" w:type="dxa"/>
        <w:tblLayout w:type="autofit"/>
        <w:tblCellMar>
          <w:top w:w="0" w:type="dxa"/>
          <w:left w:w="108" w:type="dxa"/>
          <w:bottom w:w="0" w:type="dxa"/>
          <w:right w:w="108" w:type="dxa"/>
        </w:tblCellMar>
      </w:tblPr>
      <w:tblGrid>
        <w:gridCol w:w="5524"/>
        <w:gridCol w:w="2835"/>
      </w:tblGrid>
      <w:tr w14:paraId="789107D7">
        <w:tblPrEx>
          <w:tblCellMar>
            <w:top w:w="0" w:type="dxa"/>
            <w:left w:w="108" w:type="dxa"/>
            <w:bottom w:w="0" w:type="dxa"/>
            <w:right w:w="108" w:type="dxa"/>
          </w:tblCellMar>
        </w:tblPrEx>
        <w:tc>
          <w:tcPr>
            <w:tcW w:w="5524" w:type="dxa"/>
            <w:shd w:val="clear" w:color="auto" w:fill="auto"/>
          </w:tcPr>
          <w:p w14:paraId="2214A932">
            <w:pPr>
              <w:pStyle w:val="3"/>
              <w:ind w:firstLine="0" w:firstLineChars="0"/>
              <w:jc w:val="center"/>
              <w:rPr>
                <w:rFonts w:ascii="微软雅黑" w:hAnsi="微软雅黑" w:eastAsia="微软雅黑"/>
                <w:lang w:val="en-US"/>
              </w:rPr>
            </w:pPr>
            <m:oMathPara>
              <m:oMathParaPr>
                <m:jc m:val="center"/>
              </m:oMathParaPr>
              <m:oMath>
                <m:sSub>
                  <m:sSubPr>
                    <m:ctrlPr>
                      <w:rPr>
                        <w:rFonts w:ascii="Cambria Math" w:hAnsi="Cambria Math" w:eastAsia="微软雅黑"/>
                        <w:lang w:val="en-US"/>
                      </w:rPr>
                    </m:ctrlPr>
                  </m:sSubPr>
                  <m:e>
                    <m:r>
                      <m:rPr/>
                      <w:rPr>
                        <w:rFonts w:ascii="Cambria Math" w:hAnsi="Cambria Math" w:eastAsia="微软雅黑"/>
                        <w:lang w:val="en-US"/>
                      </w:rPr>
                      <m:t>P</m:t>
                    </m:r>
                    <m:ctrlPr>
                      <w:rPr>
                        <w:rFonts w:ascii="Cambria Math" w:hAnsi="Cambria Math" w:eastAsia="微软雅黑"/>
                        <w:lang w:val="en-US"/>
                      </w:rPr>
                    </m:ctrlPr>
                  </m:e>
                  <m:sub>
                    <m:r>
                      <m:rPr>
                        <m:sty m:val="p"/>
                      </m:rPr>
                      <w:rPr>
                        <w:rFonts w:ascii="Cambria Math" w:hAnsi="Cambria Math" w:eastAsia="微软雅黑"/>
                        <w:lang w:val="en-US"/>
                      </w:rPr>
                      <m:t>Up</m:t>
                    </m:r>
                    <m:ctrlPr>
                      <w:rPr>
                        <w:rFonts w:ascii="Cambria Math" w:hAnsi="Cambria Math" w:eastAsia="微软雅黑"/>
                        <w:lang w:val="en-US"/>
                      </w:rPr>
                    </m:ctrlPr>
                  </m:sub>
                </m:sSub>
                <m:r>
                  <m:rPr/>
                  <w:rPr>
                    <w:rFonts w:ascii="Cambria Math" w:hAnsi="Cambria Math" w:eastAsia="微软雅黑"/>
                    <w:lang w:val="en-US"/>
                  </w:rPr>
                  <m:t>=</m:t>
                </m:r>
                <m:f>
                  <m:fPr>
                    <m:ctrlPr>
                      <w:rPr>
                        <w:rFonts w:ascii="Cambria Math" w:hAnsi="Cambria Math" w:eastAsia="微软雅黑"/>
                        <w:lang w:val="en-US"/>
                      </w:rPr>
                    </m:ctrlPr>
                  </m:fPr>
                  <m:num>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 xml:space="preserve">3 </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num>
                  <m:den>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den>
                </m:f>
              </m:oMath>
            </m:oMathPara>
          </w:p>
        </w:tc>
        <w:tc>
          <w:tcPr>
            <w:tcW w:w="2835" w:type="dxa"/>
            <w:shd w:val="clear" w:color="auto" w:fill="auto"/>
            <w:vAlign w:val="center"/>
          </w:tcPr>
          <w:p w14:paraId="36B8DA1F">
            <w:pPr>
              <w:pStyle w:val="3"/>
              <w:ind w:firstLine="0" w:firstLineChars="0"/>
              <w:jc w:val="right"/>
              <w:rPr>
                <w:rFonts w:ascii="微软雅黑" w:hAnsi="微软雅黑" w:eastAsia="微软雅黑"/>
                <w:lang w:val="en-US"/>
              </w:rPr>
            </w:pPr>
            <w:r>
              <w:rPr>
                <w:rFonts w:hint="eastAsia"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5.2</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tc>
      </w:tr>
    </w:tbl>
    <w:p w14:paraId="243D127B">
      <w:pPr>
        <w:pStyle w:val="3"/>
        <w:ind w:firstLine="420"/>
        <w:rPr>
          <w:rFonts w:ascii="微软雅黑" w:hAnsi="微软雅黑" w:eastAsia="微软雅黑"/>
          <w:sz w:val="24"/>
          <w:lang w:val="en-US"/>
        </w:rPr>
      </w:pPr>
      <w:r>
        <w:rPr>
          <w:rFonts w:hint="eastAsia" w:ascii="微软雅黑" w:hAnsi="微软雅黑" w:eastAsia="微软雅黑"/>
          <w:lang w:val="en-US"/>
        </w:rPr>
        <w:t>式中：</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分别为窗户C1，C2，C3的平均风压值，而</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为各个窗户的面积</w:t>
      </w:r>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up</m:t>
            </m:r>
            <m:ctrlPr>
              <w:rPr>
                <w:rFonts w:ascii="Cambria Math" w:hAnsi="Cambria Math" w:eastAsia="微软雅黑"/>
                <w:i/>
                <w:sz w:val="24"/>
                <w:lang w:val="en-US"/>
              </w:rPr>
            </m:ctrlPr>
          </m:sub>
        </m:sSub>
      </m:oMath>
      <w:r>
        <w:rPr>
          <w:rFonts w:hint="eastAsia" w:ascii="微软雅黑" w:hAnsi="微软雅黑" w:eastAsia="微软雅黑"/>
          <w:lang w:val="en-US"/>
        </w:rPr>
        <w:t>为迎风面窗户平均风压。</w:t>
      </w:r>
    </w:p>
    <w:p w14:paraId="2E4505D7">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13F70375">
      <w:pPr>
        <w:pStyle w:val="6"/>
      </w:pPr>
      <w:r>
        <w:rPr>
          <w:rFonts w:hint="eastAsia"/>
        </w:rPr>
        <w:t>建筑迎风面和背风面风压云图</w:t>
      </w:r>
    </w:p>
    <w:p w14:paraId="50016D2E">
      <w:pPr>
        <w:jc w:val="center"/>
        <w:rPr>
          <w:rFonts w:ascii="微软雅黑" w:hAnsi="微软雅黑" w:eastAsia="微软雅黑"/>
          <w:lang w:val="en-US"/>
        </w:rPr>
      </w:pPr>
      <w:bookmarkStart w:id="98" w:name="冬季工况建筑迎风面风压云图"/>
      <w:bookmarkEnd w:id="98"/>
      <w:r>
        <w:drawing>
          <wp:inline distT="0" distB="0" distL="0" distR="0">
            <wp:extent cx="5667375" cy="33528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3"/>
                    <a:stretch>
                      <a:fillRect/>
                    </a:stretch>
                  </pic:blipFill>
                  <pic:spPr>
                    <a:xfrm>
                      <a:off x="0" y="0"/>
                      <a:ext cx="5667375" cy="3352800"/>
                    </a:xfrm>
                    <a:prstGeom prst="rect">
                      <a:avLst/>
                    </a:prstGeom>
                  </pic:spPr>
                </pic:pic>
              </a:graphicData>
            </a:graphic>
          </wp:inline>
        </w:drawing>
      </w:r>
    </w:p>
    <w:p w14:paraId="68C80F5C">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建筑迎风面风压云图</w:t>
      </w:r>
    </w:p>
    <w:p w14:paraId="06D8E1E4">
      <w:pPr>
        <w:jc w:val="center"/>
        <w:rPr>
          <w:rFonts w:ascii="微软雅黑" w:hAnsi="微软雅黑" w:eastAsia="微软雅黑"/>
        </w:rPr>
      </w:pPr>
      <w:bookmarkStart w:id="99" w:name="冬季工况建筑背风面风压云图"/>
      <w:bookmarkEnd w:id="99"/>
      <w:r>
        <w:drawing>
          <wp:inline distT="0" distB="0" distL="0" distR="0">
            <wp:extent cx="5667375" cy="336232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4"/>
                    <a:stretch>
                      <a:fillRect/>
                    </a:stretch>
                  </pic:blipFill>
                  <pic:spPr>
                    <a:xfrm>
                      <a:off x="0" y="0"/>
                      <a:ext cx="5667375" cy="3362325"/>
                    </a:xfrm>
                    <a:prstGeom prst="rect">
                      <a:avLst/>
                    </a:prstGeom>
                  </pic:spPr>
                </pic:pic>
              </a:graphicData>
            </a:graphic>
          </wp:inline>
        </w:drawing>
      </w:r>
    </w:p>
    <w:p w14:paraId="7498015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建筑背风面风压云图</w:t>
      </w:r>
    </w:p>
    <w:p w14:paraId="5EA98278">
      <w:pPr>
        <w:jc w:val="center"/>
        <w:rPr>
          <w:sz w:val="20"/>
        </w:rPr>
      </w:pPr>
      <w:bookmarkStart w:id="100" w:name="建筑迎背风面风压差表_新增"/>
      <w:bookmarkEnd w:id="100"/>
      <w:bookmarkStart w:id="101" w:name="建筑迎背风面风压差表"/>
    </w:p>
    <w:bookmarkEnd w:id="101"/>
    <w:p w14:paraId="0EFE0D3D">
      <w:pPr>
        <w:pStyle w:val="6"/>
      </w:pPr>
      <w:r>
        <w:rPr>
          <w:rFonts w:hint="eastAsia"/>
        </w:rPr>
        <w:t>建筑迎风和背风面风压差结论汇总</w:t>
      </w:r>
    </w:p>
    <w:p w14:paraId="08E876E8">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建筑迎风和背风面风压差结论汇总表</w:t>
      </w:r>
    </w:p>
    <w:tbl>
      <w:tblPr>
        <w:tblStyle w:val="21"/>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8"/>
        <w:gridCol w:w="1697"/>
        <w:gridCol w:w="1697"/>
        <w:gridCol w:w="2401"/>
        <w:gridCol w:w="1151"/>
      </w:tblGrid>
      <w:tr w14:paraId="3DFEF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E6E6E6"/>
            <w:vAlign w:val="center"/>
          </w:tcPr>
          <w:p w14:paraId="7575BE67">
            <w:pPr>
              <w:jc w:val="center"/>
              <w:rPr>
                <w:sz w:val="18"/>
                <w:szCs w:val="18"/>
                <w:lang w:val="en-US"/>
              </w:rPr>
            </w:pPr>
            <w:bookmarkStart w:id="102" w:name="建筑迎风和背风面风压差结论汇总表"/>
            <w:r>
              <w:rPr>
                <w:rFonts w:hint="eastAsia"/>
                <w:sz w:val="18"/>
                <w:szCs w:val="18"/>
                <w:lang w:val="en-US"/>
              </w:rPr>
              <w:t>建筑编号</w:t>
            </w:r>
          </w:p>
        </w:tc>
        <w:tc>
          <w:tcPr>
            <w:tcW w:w="1697" w:type="dxa"/>
            <w:shd w:val="clear" w:color="auto" w:fill="E6E6E6"/>
            <w:vAlign w:val="center"/>
          </w:tcPr>
          <w:p w14:paraId="66002A95">
            <w:pPr>
              <w:jc w:val="center"/>
              <w:rPr>
                <w:sz w:val="18"/>
                <w:szCs w:val="18"/>
                <w:lang w:val="en-US"/>
              </w:rPr>
            </w:pPr>
            <w:r>
              <w:rPr>
                <w:rFonts w:hint="eastAsia"/>
                <w:sz w:val="18"/>
                <w:szCs w:val="18"/>
                <w:lang w:val="en-US"/>
              </w:rPr>
              <w:t>迎风面平均风压(Pa)</w:t>
            </w:r>
          </w:p>
        </w:tc>
        <w:tc>
          <w:tcPr>
            <w:tcW w:w="1697" w:type="dxa"/>
            <w:shd w:val="clear" w:color="auto" w:fill="E6E6E6"/>
            <w:vAlign w:val="center"/>
          </w:tcPr>
          <w:p w14:paraId="1D5F621A">
            <w:pPr>
              <w:jc w:val="center"/>
              <w:rPr>
                <w:sz w:val="18"/>
                <w:szCs w:val="18"/>
                <w:lang w:val="en-US"/>
              </w:rPr>
            </w:pPr>
            <w:r>
              <w:rPr>
                <w:rFonts w:hint="eastAsia"/>
                <w:sz w:val="18"/>
                <w:szCs w:val="18"/>
                <w:lang w:val="en-US"/>
              </w:rPr>
              <w:t>背风面平均风压(Pa)</w:t>
            </w:r>
          </w:p>
        </w:tc>
        <w:tc>
          <w:tcPr>
            <w:tcW w:w="2401" w:type="dxa"/>
            <w:shd w:val="clear" w:color="auto" w:fill="E6E6E6"/>
            <w:vAlign w:val="center"/>
          </w:tcPr>
          <w:p w14:paraId="7E798976">
            <w:pPr>
              <w:jc w:val="center"/>
              <w:rPr>
                <w:sz w:val="18"/>
                <w:szCs w:val="18"/>
                <w:lang w:val="en-US"/>
              </w:rPr>
            </w:pPr>
            <w:r>
              <w:rPr>
                <w:rFonts w:hint="eastAsia"/>
                <w:sz w:val="18"/>
                <w:szCs w:val="18"/>
                <w:lang w:val="en-US"/>
              </w:rPr>
              <w:t>建筑迎风和背风面风压差(Pa)</w:t>
            </w:r>
          </w:p>
        </w:tc>
        <w:tc>
          <w:tcPr>
            <w:tcW w:w="1151" w:type="dxa"/>
            <w:shd w:val="clear" w:color="auto" w:fill="E6E6E6"/>
            <w:vAlign w:val="center"/>
          </w:tcPr>
          <w:p w14:paraId="6417718D">
            <w:pPr>
              <w:jc w:val="center"/>
              <w:rPr>
                <w:sz w:val="18"/>
                <w:szCs w:val="18"/>
                <w:lang w:val="en-US"/>
              </w:rPr>
            </w:pPr>
            <w:r>
              <w:rPr>
                <w:rFonts w:hint="eastAsia"/>
                <w:sz w:val="18"/>
                <w:szCs w:val="18"/>
                <w:lang w:val="en-US"/>
              </w:rPr>
              <w:t>是否达标</w:t>
            </w:r>
          </w:p>
        </w:tc>
      </w:tr>
      <w:tr w14:paraId="73735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61765C62">
            <w:pPr>
              <w:jc w:val="center"/>
              <w:rPr>
                <w:sz w:val="18"/>
                <w:szCs w:val="18"/>
                <w:lang w:val="en-US"/>
              </w:rPr>
            </w:pPr>
            <w:r>
              <w:rPr>
                <w:sz w:val="18"/>
                <w:szCs w:val="18"/>
                <w:lang w:val="en-US"/>
              </w:rPr>
              <w:t>建筑</w:t>
            </w:r>
          </w:p>
        </w:tc>
        <w:tc>
          <w:tcPr>
            <w:tcW w:w="1697" w:type="dxa"/>
            <w:shd w:val="clear" w:color="auto" w:fill="auto"/>
            <w:vAlign w:val="center"/>
          </w:tcPr>
          <w:p w14:paraId="181BFB07">
            <w:pPr>
              <w:jc w:val="center"/>
              <w:rPr>
                <w:sz w:val="18"/>
                <w:szCs w:val="18"/>
                <w:lang w:val="en-US"/>
              </w:rPr>
            </w:pPr>
            <w:r>
              <w:rPr>
                <w:sz w:val="18"/>
                <w:szCs w:val="18"/>
                <w:lang w:val="en-US"/>
              </w:rPr>
              <w:t>1.45</w:t>
            </w:r>
          </w:p>
        </w:tc>
        <w:tc>
          <w:tcPr>
            <w:tcW w:w="1697" w:type="dxa"/>
            <w:shd w:val="clear" w:color="auto" w:fill="auto"/>
            <w:vAlign w:val="center"/>
          </w:tcPr>
          <w:p w14:paraId="234E6518">
            <w:pPr>
              <w:jc w:val="center"/>
              <w:rPr>
                <w:sz w:val="18"/>
                <w:szCs w:val="18"/>
                <w:lang w:val="en-US"/>
              </w:rPr>
            </w:pPr>
            <w:r>
              <w:rPr>
                <w:sz w:val="18"/>
                <w:szCs w:val="18"/>
                <w:lang w:val="en-US"/>
              </w:rPr>
              <w:t>-2.61</w:t>
            </w:r>
          </w:p>
        </w:tc>
        <w:tc>
          <w:tcPr>
            <w:tcW w:w="2401" w:type="dxa"/>
            <w:shd w:val="clear" w:color="auto" w:fill="auto"/>
            <w:vAlign w:val="center"/>
          </w:tcPr>
          <w:p w14:paraId="735FFAA3">
            <w:pPr>
              <w:jc w:val="center"/>
              <w:rPr>
                <w:sz w:val="18"/>
                <w:szCs w:val="18"/>
                <w:lang w:val="en-US"/>
              </w:rPr>
            </w:pPr>
            <w:r>
              <w:rPr>
                <w:sz w:val="18"/>
                <w:szCs w:val="18"/>
                <w:lang w:val="en-US"/>
              </w:rPr>
              <w:t>4.06</w:t>
            </w:r>
          </w:p>
        </w:tc>
        <w:tc>
          <w:tcPr>
            <w:tcW w:w="1151" w:type="dxa"/>
            <w:shd w:val="clear" w:color="auto" w:fill="auto"/>
            <w:vAlign w:val="center"/>
          </w:tcPr>
          <w:p w14:paraId="4EB263EE">
            <w:pPr>
              <w:jc w:val="center"/>
              <w:rPr>
                <w:sz w:val="18"/>
                <w:szCs w:val="18"/>
                <w:lang w:val="en-US"/>
              </w:rPr>
            </w:pPr>
            <w:r>
              <w:rPr>
                <w:sz w:val="18"/>
                <w:szCs w:val="18"/>
                <w:lang w:val="en-US"/>
              </w:rPr>
              <w:t>是</w:t>
            </w:r>
          </w:p>
        </w:tc>
      </w:tr>
      <w:bookmarkEnd w:id="102"/>
    </w:tbl>
    <w:p w14:paraId="671F8AA2">
      <w:pPr>
        <w:rPr>
          <w:lang w:val="en-US"/>
        </w:rPr>
      </w:pPr>
      <w:bookmarkStart w:id="103" w:name="建筑迎风和背风面风压差结论汇总结论"/>
      <w:bookmarkEnd w:id="103"/>
      <w:r>
        <w:rPr>
          <w:lang w:val="en-US"/>
        </w:rPr>
        <w:t>结论：本项目中参评建筑迎背风压差</w:t>
      </w:r>
      <w:r>
        <w:rPr>
          <w:rFonts w:hint="eastAsia"/>
          <w:lang w:val="en-US" w:eastAsia="zh-CN"/>
        </w:rPr>
        <w:t>满足</w:t>
      </w:r>
      <w:r>
        <w:rPr>
          <w:lang w:val="en-US"/>
        </w:rPr>
        <w:t>要求。</w:t>
      </w:r>
    </w:p>
    <w:p w14:paraId="32E62D89">
      <w:pPr>
        <w:rPr>
          <w:lang w:val="en-US"/>
        </w:rPr>
      </w:pPr>
      <w:r>
        <w:rPr>
          <w:b/>
          <w:color w:val="000000"/>
          <w:lang w:val="en-US"/>
        </w:rPr>
        <w:t>说明：所有单体建筑各层迎风和背风面风压差信息详见附录。</w:t>
      </w:r>
    </w:p>
    <w:p w14:paraId="6AB93F95">
      <w:pPr>
        <w:rPr>
          <w:lang w:val="en-US"/>
        </w:rPr>
      </w:pPr>
      <w:bookmarkStart w:id="104" w:name="冬季工况"/>
      <w:bookmarkEnd w:id="104"/>
      <w:r>
        <w:rPr>
          <w:rFonts w:hint="eastAsia"/>
          <w:lang w:val="en-US"/>
        </w:rPr>
        <w:t xml:space="preserve"> </w:t>
      </w:r>
    </w:p>
    <w:p w14:paraId="3D7E9D39">
      <w:pPr>
        <w:rPr>
          <w:lang w:val="en-US"/>
        </w:rPr>
      </w:pPr>
      <w:bookmarkStart w:id="105" w:name="其他工况"/>
      <w:bookmarkEnd w:id="105"/>
      <w:r>
        <w:rPr>
          <w:rFonts w:hint="eastAsia"/>
          <w:lang w:val="en-US"/>
        </w:rPr>
        <w:t xml:space="preserve"> </w:t>
      </w:r>
    </w:p>
    <w:p w14:paraId="66D433E0">
      <w:pPr>
        <w:pStyle w:val="2"/>
      </w:pPr>
      <w:bookmarkStart w:id="106" w:name="_Toc509844764"/>
      <w:bookmarkStart w:id="107" w:name="_Toc31682"/>
      <w:r>
        <w:rPr>
          <w:rFonts w:hint="eastAsia"/>
        </w:rPr>
        <w:t>结论</w:t>
      </w:r>
      <w:bookmarkEnd w:id="106"/>
      <w:bookmarkEnd w:id="107"/>
    </w:p>
    <w:p w14:paraId="543F2638">
      <w:pPr>
        <w:pStyle w:val="4"/>
      </w:pPr>
      <w:bookmarkStart w:id="108" w:name="_Toc509844765"/>
      <w:bookmarkStart w:id="109" w:name="_Toc3628"/>
      <w:r>
        <w:rPr>
          <w:rFonts w:hint="eastAsia"/>
        </w:rPr>
        <w:t>冬季工况达标判断</w:t>
      </w:r>
      <w:bookmarkEnd w:id="108"/>
      <w:bookmarkEnd w:id="109"/>
      <w:bookmarkStart w:id="110" w:name="_Toc509844766"/>
      <w:bookmarkEnd w:id="110"/>
    </w:p>
    <w:p w14:paraId="3DD1A267">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表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表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冬季工况达标判断表</w:t>
      </w:r>
    </w:p>
    <w:tbl>
      <w:tblPr>
        <w:tblStyle w:val="21"/>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977"/>
        <w:gridCol w:w="1985"/>
        <w:gridCol w:w="1133"/>
        <w:gridCol w:w="850"/>
      </w:tblGrid>
      <w:tr w14:paraId="4C6C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E6E6E6"/>
            <w:vAlign w:val="center"/>
          </w:tcPr>
          <w:p w14:paraId="563FCBDA">
            <w:pPr>
              <w:jc w:val="center"/>
              <w:rPr>
                <w:b/>
                <w:sz w:val="18"/>
                <w:szCs w:val="18"/>
                <w:lang w:val="en-US"/>
              </w:rPr>
            </w:pPr>
            <w:r>
              <w:rPr>
                <w:rFonts w:hint="eastAsia"/>
                <w:b/>
                <w:sz w:val="18"/>
                <w:szCs w:val="18"/>
                <w:lang w:val="en-US"/>
              </w:rPr>
              <w:t>评价项目</w:t>
            </w:r>
          </w:p>
        </w:tc>
        <w:tc>
          <w:tcPr>
            <w:tcW w:w="2977" w:type="dxa"/>
            <w:shd w:val="clear" w:color="auto" w:fill="E6E6E6"/>
          </w:tcPr>
          <w:p w14:paraId="060D2F68">
            <w:pPr>
              <w:jc w:val="center"/>
              <w:rPr>
                <w:b/>
                <w:sz w:val="18"/>
                <w:szCs w:val="18"/>
                <w:lang w:val="en-US"/>
              </w:rPr>
            </w:pPr>
            <w:r>
              <w:rPr>
                <w:rFonts w:hint="eastAsia"/>
                <w:b/>
                <w:sz w:val="18"/>
                <w:szCs w:val="18"/>
                <w:lang w:val="en-US"/>
              </w:rPr>
              <w:t>标准要求</w:t>
            </w:r>
          </w:p>
        </w:tc>
        <w:tc>
          <w:tcPr>
            <w:tcW w:w="1985" w:type="dxa"/>
            <w:shd w:val="clear" w:color="auto" w:fill="E6E6E6"/>
            <w:vAlign w:val="center"/>
          </w:tcPr>
          <w:p w14:paraId="3ECB5AE4">
            <w:pPr>
              <w:jc w:val="center"/>
              <w:rPr>
                <w:b/>
                <w:sz w:val="18"/>
                <w:szCs w:val="18"/>
                <w:lang w:val="en-US"/>
              </w:rPr>
            </w:pPr>
            <w:r>
              <w:rPr>
                <w:rFonts w:hint="eastAsia"/>
                <w:b/>
                <w:sz w:val="18"/>
                <w:szCs w:val="18"/>
                <w:lang w:val="en-US"/>
              </w:rPr>
              <w:t>项目计算结果</w:t>
            </w:r>
          </w:p>
        </w:tc>
        <w:tc>
          <w:tcPr>
            <w:tcW w:w="1133" w:type="dxa"/>
            <w:shd w:val="clear" w:color="auto" w:fill="E6E6E6"/>
          </w:tcPr>
          <w:p w14:paraId="7439ABED">
            <w:pPr>
              <w:jc w:val="center"/>
              <w:rPr>
                <w:b/>
                <w:sz w:val="18"/>
                <w:szCs w:val="18"/>
                <w:lang w:val="en-US"/>
              </w:rPr>
            </w:pPr>
            <w:r>
              <w:rPr>
                <w:rFonts w:hint="eastAsia"/>
                <w:b/>
                <w:sz w:val="18"/>
                <w:szCs w:val="18"/>
                <w:lang w:val="en-US"/>
              </w:rPr>
              <w:t>达标判定</w:t>
            </w:r>
          </w:p>
        </w:tc>
        <w:tc>
          <w:tcPr>
            <w:tcW w:w="850" w:type="dxa"/>
            <w:shd w:val="clear" w:color="auto" w:fill="E6E6E6"/>
          </w:tcPr>
          <w:p w14:paraId="039F2B06">
            <w:pPr>
              <w:jc w:val="center"/>
              <w:rPr>
                <w:b/>
                <w:sz w:val="18"/>
                <w:szCs w:val="18"/>
                <w:lang w:val="en-US"/>
              </w:rPr>
            </w:pPr>
            <w:r>
              <w:rPr>
                <w:rFonts w:hint="eastAsia"/>
                <w:b/>
                <w:sz w:val="18"/>
                <w:szCs w:val="18"/>
                <w:lang w:val="en-US"/>
              </w:rPr>
              <w:t>得分</w:t>
            </w:r>
          </w:p>
        </w:tc>
      </w:tr>
      <w:tr w14:paraId="00F7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0B4E961B">
            <w:pPr>
              <w:jc w:val="center"/>
              <w:rPr>
                <w:sz w:val="18"/>
                <w:szCs w:val="18"/>
                <w:lang w:val="en-US"/>
              </w:rPr>
            </w:pPr>
            <w:r>
              <w:rPr>
                <w:rFonts w:hint="eastAsia"/>
                <w:sz w:val="18"/>
                <w:szCs w:val="18"/>
                <w:lang w:val="en-US"/>
              </w:rPr>
              <w:t>风速</w:t>
            </w:r>
          </w:p>
        </w:tc>
        <w:tc>
          <w:tcPr>
            <w:tcW w:w="2977" w:type="dxa"/>
            <w:vMerge w:val="restart"/>
            <w:shd w:val="clear" w:color="auto" w:fill="auto"/>
          </w:tcPr>
          <w:p w14:paraId="00830693">
            <w:pPr>
              <w:rPr>
                <w:sz w:val="18"/>
                <w:szCs w:val="18"/>
                <w:lang w:val="en-US"/>
              </w:rPr>
            </w:pPr>
            <w:r>
              <w:rPr>
                <w:rFonts w:hint="eastAsia"/>
                <w:sz w:val="18"/>
                <w:szCs w:val="18"/>
                <w:lang w:val="en-US"/>
              </w:rPr>
              <w:t>建筑物周围人行区距地高1. 5m处风速小于5m/s, 户外休息区、儿童娱乐区风速小于2m/s, 且室外风速放大系数小于2, 得</w:t>
            </w:r>
            <w:bookmarkStart w:id="111" w:name="标准要求冬季风速得分"/>
            <w:r>
              <w:rPr>
                <w:rFonts w:hint="eastAsia"/>
                <w:sz w:val="18"/>
                <w:szCs w:val="18"/>
                <w:lang w:val="en-US"/>
              </w:rPr>
              <w:t>3</w:t>
            </w:r>
            <w:bookmarkEnd w:id="111"/>
            <w:r>
              <w:rPr>
                <w:rFonts w:hint="eastAsia"/>
                <w:sz w:val="18"/>
                <w:szCs w:val="18"/>
                <w:lang w:val="en-US"/>
              </w:rPr>
              <w:t>分；</w:t>
            </w:r>
          </w:p>
        </w:tc>
        <w:tc>
          <w:tcPr>
            <w:tcW w:w="1985" w:type="dxa"/>
            <w:shd w:val="clear" w:color="auto" w:fill="auto"/>
            <w:vAlign w:val="center"/>
          </w:tcPr>
          <w:p w14:paraId="71DD5C21">
            <w:pPr>
              <w:jc w:val="center"/>
              <w:rPr>
                <w:sz w:val="18"/>
                <w:szCs w:val="18"/>
                <w:lang w:val="en-US"/>
              </w:rPr>
            </w:pPr>
            <w:r>
              <w:rPr>
                <w:rFonts w:hint="eastAsia"/>
                <w:sz w:val="18"/>
                <w:szCs w:val="18"/>
                <w:lang w:val="en-US"/>
              </w:rPr>
              <w:t>计算域</w:t>
            </w:r>
            <w:bookmarkStart w:id="112" w:name="冬季风速结果计算域"/>
            <w:r>
              <w:t>没有出现</w:t>
            </w:r>
            <w:bookmarkEnd w:id="112"/>
            <w:r>
              <w:rPr>
                <w:rFonts w:hint="eastAsia"/>
                <w:sz w:val="18"/>
                <w:szCs w:val="18"/>
                <w:lang w:val="en-US"/>
              </w:rPr>
              <w:t>风速大于</w:t>
            </w:r>
            <w:r>
              <w:rPr>
                <w:sz w:val="18"/>
                <w:szCs w:val="18"/>
                <w:lang w:val="en-US"/>
              </w:rPr>
              <w:t>5m/s</w:t>
            </w:r>
            <w:r>
              <w:rPr>
                <w:rFonts w:hint="eastAsia"/>
                <w:sz w:val="18"/>
                <w:szCs w:val="18"/>
                <w:lang w:val="en-US"/>
              </w:rPr>
              <w:t>的区域</w:t>
            </w:r>
          </w:p>
        </w:tc>
        <w:tc>
          <w:tcPr>
            <w:tcW w:w="1133" w:type="dxa"/>
            <w:vMerge w:val="restart"/>
            <w:shd w:val="clear" w:color="auto" w:fill="auto"/>
            <w:vAlign w:val="center"/>
          </w:tcPr>
          <w:p w14:paraId="12B4E87F">
            <w:pPr>
              <w:jc w:val="center"/>
              <w:rPr>
                <w:b/>
                <w:sz w:val="18"/>
                <w:szCs w:val="18"/>
                <w:lang w:val="en-US"/>
              </w:rPr>
            </w:pPr>
            <w:bookmarkStart w:id="113" w:name="冬季风速达标判定"/>
            <w:r>
              <w:rPr>
                <w:rFonts w:hint="eastAsia"/>
                <w:b/>
                <w:sz w:val="18"/>
                <w:szCs w:val="18"/>
                <w:lang w:val="en-US"/>
              </w:rPr>
              <w:t>达标</w:t>
            </w:r>
            <w:bookmarkEnd w:id="113"/>
          </w:p>
        </w:tc>
        <w:tc>
          <w:tcPr>
            <w:tcW w:w="850" w:type="dxa"/>
            <w:vMerge w:val="restart"/>
            <w:shd w:val="clear" w:color="auto" w:fill="auto"/>
            <w:vAlign w:val="center"/>
          </w:tcPr>
          <w:p w14:paraId="19E0D265">
            <w:pPr>
              <w:jc w:val="center"/>
              <w:rPr>
                <w:sz w:val="18"/>
                <w:szCs w:val="18"/>
                <w:lang w:val="en-US"/>
              </w:rPr>
            </w:pPr>
            <w:bookmarkStart w:id="114" w:name="冬季风速得分"/>
            <w:r>
              <w:rPr>
                <w:rFonts w:hint="eastAsia"/>
                <w:sz w:val="18"/>
                <w:szCs w:val="18"/>
                <w:lang w:val="en-US"/>
              </w:rPr>
              <w:t>3</w:t>
            </w:r>
            <w:bookmarkEnd w:id="114"/>
            <w:r>
              <w:rPr>
                <w:rFonts w:hint="eastAsia"/>
                <w:sz w:val="18"/>
                <w:szCs w:val="18"/>
                <w:lang w:val="en-US"/>
              </w:rPr>
              <w:t>分</w:t>
            </w:r>
          </w:p>
        </w:tc>
      </w:tr>
      <w:tr w14:paraId="124E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6C8E951C">
            <w:pPr>
              <w:jc w:val="center"/>
              <w:rPr>
                <w:sz w:val="18"/>
                <w:szCs w:val="18"/>
                <w:lang w:val="en-US"/>
              </w:rPr>
            </w:pPr>
            <w:r>
              <w:rPr>
                <w:rFonts w:hint="eastAsia"/>
                <w:sz w:val="18"/>
                <w:szCs w:val="18"/>
                <w:lang w:val="en-US"/>
              </w:rPr>
              <w:t>风速放大系数</w:t>
            </w:r>
          </w:p>
        </w:tc>
        <w:tc>
          <w:tcPr>
            <w:tcW w:w="2977" w:type="dxa"/>
            <w:vMerge w:val="continue"/>
            <w:shd w:val="clear" w:color="auto" w:fill="auto"/>
          </w:tcPr>
          <w:p w14:paraId="53DA9065">
            <w:pPr>
              <w:jc w:val="center"/>
              <w:rPr>
                <w:sz w:val="18"/>
                <w:szCs w:val="18"/>
                <w:lang w:val="en-US"/>
              </w:rPr>
            </w:pPr>
          </w:p>
        </w:tc>
        <w:tc>
          <w:tcPr>
            <w:tcW w:w="1985" w:type="dxa"/>
            <w:shd w:val="clear" w:color="auto" w:fill="auto"/>
            <w:vAlign w:val="center"/>
          </w:tcPr>
          <w:p w14:paraId="754E8087">
            <w:pPr>
              <w:jc w:val="center"/>
              <w:rPr>
                <w:sz w:val="18"/>
                <w:szCs w:val="18"/>
                <w:lang w:val="en-US"/>
              </w:rPr>
            </w:pPr>
            <w:r>
              <w:rPr>
                <w:rFonts w:hint="eastAsia"/>
                <w:sz w:val="18"/>
                <w:szCs w:val="18"/>
                <w:lang w:val="en-US"/>
              </w:rPr>
              <w:t>计算域</w:t>
            </w:r>
            <w:bookmarkStart w:id="115" w:name="冬季风速放大系数结果计算域"/>
            <w:r>
              <w:t>没有出现</w:t>
            </w:r>
            <w:bookmarkEnd w:id="115"/>
            <w:r>
              <w:rPr>
                <w:rFonts w:hint="eastAsia"/>
                <w:sz w:val="18"/>
                <w:szCs w:val="18"/>
                <w:lang w:val="en-US"/>
              </w:rPr>
              <w:t>风速放大系数大于等于2的区域</w:t>
            </w:r>
          </w:p>
        </w:tc>
        <w:tc>
          <w:tcPr>
            <w:tcW w:w="1133" w:type="dxa"/>
            <w:vMerge w:val="continue"/>
            <w:shd w:val="clear" w:color="auto" w:fill="auto"/>
          </w:tcPr>
          <w:p w14:paraId="75F29449">
            <w:pPr>
              <w:jc w:val="center"/>
              <w:rPr>
                <w:sz w:val="18"/>
                <w:szCs w:val="18"/>
                <w:lang w:val="en-US"/>
              </w:rPr>
            </w:pPr>
          </w:p>
        </w:tc>
        <w:tc>
          <w:tcPr>
            <w:tcW w:w="850" w:type="dxa"/>
            <w:vMerge w:val="continue"/>
            <w:shd w:val="clear" w:color="auto" w:fill="auto"/>
          </w:tcPr>
          <w:p w14:paraId="5C8BB756">
            <w:pPr>
              <w:jc w:val="center"/>
              <w:rPr>
                <w:sz w:val="18"/>
                <w:szCs w:val="18"/>
                <w:lang w:val="en-US"/>
              </w:rPr>
            </w:pPr>
          </w:p>
        </w:tc>
      </w:tr>
      <w:tr w14:paraId="2B39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3D2B6082">
            <w:pPr>
              <w:jc w:val="center"/>
              <w:rPr>
                <w:sz w:val="18"/>
                <w:szCs w:val="18"/>
                <w:lang w:val="en-US"/>
              </w:rPr>
            </w:pPr>
            <w:r>
              <w:rPr>
                <w:rFonts w:hint="eastAsia"/>
                <w:sz w:val="18"/>
                <w:szCs w:val="18"/>
                <w:lang w:val="en-US"/>
              </w:rPr>
              <w:t>建筑迎风面/背风面风压值</w:t>
            </w:r>
          </w:p>
        </w:tc>
        <w:tc>
          <w:tcPr>
            <w:tcW w:w="2977" w:type="dxa"/>
            <w:shd w:val="clear" w:color="auto" w:fill="auto"/>
          </w:tcPr>
          <w:p w14:paraId="20D35FB1">
            <w:pPr>
              <w:jc w:val="center"/>
              <w:rPr>
                <w:sz w:val="18"/>
                <w:szCs w:val="18"/>
                <w:lang w:val="en-US"/>
              </w:rPr>
            </w:pPr>
            <w:r>
              <w:rPr>
                <w:rFonts w:hint="eastAsia"/>
                <w:sz w:val="18"/>
                <w:szCs w:val="18"/>
                <w:lang w:val="en-US"/>
              </w:rPr>
              <w:t>除迎风第一排建筑外，建筑迎风面与背风面表面风压差不超过5Pa，得</w:t>
            </w:r>
            <w:bookmarkStart w:id="116" w:name="标准要求冬季风压得分"/>
            <w:r>
              <w:rPr>
                <w:rFonts w:hint="eastAsia"/>
                <w:sz w:val="18"/>
                <w:szCs w:val="18"/>
                <w:lang w:val="en-US"/>
              </w:rPr>
              <w:t>2</w:t>
            </w:r>
            <w:bookmarkEnd w:id="116"/>
            <w:r>
              <w:rPr>
                <w:rFonts w:hint="eastAsia"/>
                <w:sz w:val="18"/>
                <w:szCs w:val="18"/>
                <w:lang w:val="en-US"/>
              </w:rPr>
              <w:t>分</w:t>
            </w:r>
            <w:r>
              <w:rPr>
                <w:sz w:val="18"/>
                <w:szCs w:val="18"/>
                <w:lang w:val="en-US"/>
              </w:rPr>
              <w:t>未出现风速超标区域</w:t>
            </w:r>
          </w:p>
        </w:tc>
        <w:tc>
          <w:tcPr>
            <w:tcW w:w="1985" w:type="dxa"/>
            <w:shd w:val="clear" w:color="auto" w:fill="auto"/>
            <w:vAlign w:val="center"/>
          </w:tcPr>
          <w:p w14:paraId="289EC627">
            <w:pPr>
              <w:jc w:val="center"/>
              <w:rPr>
                <w:sz w:val="18"/>
                <w:szCs w:val="18"/>
                <w:lang w:val="en-US"/>
              </w:rPr>
            </w:pPr>
            <w:r>
              <w:rPr>
                <w:rFonts w:hint="eastAsia"/>
                <w:sz w:val="18"/>
                <w:szCs w:val="18"/>
                <w:lang w:val="en-US"/>
              </w:rPr>
              <w:t>本项目</w:t>
            </w:r>
            <w:r>
              <w:rPr>
                <w:rFonts w:hint="eastAsia"/>
                <w:sz w:val="18"/>
                <w:szCs w:val="18"/>
                <w:lang w:val="en-US" w:eastAsia="zh-CN"/>
              </w:rPr>
              <w:t>没有出现</w:t>
            </w:r>
            <w:r>
              <w:rPr>
                <w:rFonts w:hint="eastAsia"/>
                <w:sz w:val="18"/>
                <w:szCs w:val="18"/>
                <w:lang w:val="en-US"/>
              </w:rPr>
              <w:t>建筑迎风面与背风面表面风压差大于5Pa的建筑</w:t>
            </w:r>
          </w:p>
        </w:tc>
        <w:tc>
          <w:tcPr>
            <w:tcW w:w="1133" w:type="dxa"/>
            <w:shd w:val="clear" w:color="auto" w:fill="auto"/>
            <w:vAlign w:val="center"/>
          </w:tcPr>
          <w:p w14:paraId="48B9CABF">
            <w:pPr>
              <w:jc w:val="center"/>
              <w:rPr>
                <w:rFonts w:hint="eastAsia" w:eastAsia="微软雅黑"/>
                <w:sz w:val="18"/>
                <w:szCs w:val="18"/>
                <w:lang w:val="en-US" w:eastAsia="zh-CN"/>
              </w:rPr>
            </w:pPr>
            <w:r>
              <w:rPr>
                <w:rFonts w:hint="eastAsia"/>
                <w:b/>
                <w:bCs/>
                <w:sz w:val="18"/>
                <w:szCs w:val="18"/>
                <w:lang w:val="en-US" w:eastAsia="zh-CN"/>
              </w:rPr>
              <w:t>达标</w:t>
            </w:r>
          </w:p>
        </w:tc>
        <w:tc>
          <w:tcPr>
            <w:tcW w:w="850" w:type="dxa"/>
            <w:shd w:val="clear" w:color="auto" w:fill="auto"/>
            <w:vAlign w:val="center"/>
          </w:tcPr>
          <w:p w14:paraId="71BDE5EF">
            <w:pPr>
              <w:jc w:val="center"/>
              <w:rPr>
                <w:sz w:val="18"/>
                <w:szCs w:val="18"/>
                <w:lang w:val="en-US"/>
              </w:rPr>
            </w:pPr>
            <w:r>
              <w:rPr>
                <w:rFonts w:hint="eastAsia"/>
                <w:sz w:val="18"/>
                <w:szCs w:val="18"/>
                <w:lang w:val="en-US" w:eastAsia="zh-CN"/>
              </w:rPr>
              <w:t>2</w:t>
            </w:r>
            <w:r>
              <w:rPr>
                <w:rFonts w:hint="eastAsia"/>
                <w:sz w:val="18"/>
                <w:szCs w:val="18"/>
                <w:lang w:val="en-US"/>
              </w:rPr>
              <w:t>分</w:t>
            </w:r>
          </w:p>
        </w:tc>
      </w:tr>
    </w:tbl>
    <w:p w14:paraId="47FE5BC5">
      <w:pPr>
        <w:rPr>
          <w:lang w:val="en-US"/>
        </w:rPr>
      </w:pPr>
      <w:bookmarkStart w:id="117" w:name="_Toc509844768"/>
      <w:bookmarkEnd w:id="117"/>
      <w:bookmarkStart w:id="118" w:name="_Toc509844767"/>
      <w:bookmarkEnd w:id="118"/>
    </w:p>
    <w:p w14:paraId="6FD57C27">
      <w:pPr>
        <w:pStyle w:val="3"/>
        <w:ind w:firstLine="42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r>
        <w:rPr>
          <w:rFonts w:hint="eastAsia" w:ascii="微软雅黑" w:hAnsi="微软雅黑" w:eastAsia="微软雅黑"/>
          <w:lang w:val="en-US" w:eastAsia="zh-CN"/>
        </w:rPr>
        <w:t>5</w:t>
      </w:r>
      <w:r>
        <w:rPr>
          <w:rFonts w:hint="eastAsia" w:ascii="微软雅黑" w:hAnsi="微软雅黑" w:eastAsia="微软雅黑"/>
          <w:lang w:val="en-US"/>
        </w:rPr>
        <w:t>分。</w:t>
      </w:r>
    </w:p>
    <w:p w14:paraId="6BCA42A2">
      <w:pPr>
        <w:pStyle w:val="2"/>
      </w:pPr>
      <w:bookmarkStart w:id="119" w:name="_Toc29675"/>
      <w:bookmarkStart w:id="120" w:name="附录"/>
      <w:r>
        <w:rPr>
          <w:rFonts w:hint="eastAsia"/>
        </w:rPr>
        <w:t>附录</w:t>
      </w:r>
      <w:bookmarkEnd w:id="119"/>
    </w:p>
    <w:p w14:paraId="4349B0BA">
      <w:pPr>
        <w:pStyle w:val="4"/>
      </w:pPr>
      <w:bookmarkStart w:id="121" w:name="_Toc18152"/>
      <w:r>
        <w:rPr>
          <w:rFonts w:hint="eastAsia"/>
        </w:rPr>
        <w:t>参评建筑迎背风面窗平均风压差表</w:t>
      </w:r>
      <w:bookmarkEnd w:id="121"/>
      <w:bookmarkStart w:id="127" w:name="_GoBack"/>
      <w:bookmarkEnd w:id="127"/>
    </w:p>
    <w:p w14:paraId="3BC3E045">
      <w:pPr>
        <w:jc w:val="center"/>
        <w:rPr>
          <w:sz w:val="18"/>
          <w:szCs w:val="18"/>
        </w:rPr>
      </w:pPr>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7.1</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1</w:t>
      </w:r>
      <w:r>
        <w:rPr>
          <w:sz w:val="18"/>
          <w:szCs w:val="18"/>
        </w:rPr>
        <w:fldChar w:fldCharType="end"/>
      </w:r>
      <w:r>
        <w:rPr>
          <w:sz w:val="18"/>
          <w:szCs w:val="18"/>
        </w:rPr>
        <w:t xml:space="preserve">  </w:t>
      </w:r>
      <w:r>
        <w:rPr>
          <w:rFonts w:hint="eastAsia"/>
          <w:sz w:val="18"/>
          <w:szCs w:val="18"/>
        </w:rPr>
        <w:t>建筑</w:t>
      </w:r>
      <w:r>
        <w:rPr>
          <w:sz w:val="18"/>
          <w:szCs w:val="18"/>
        </w:rPr>
        <w:t>-</w:t>
      </w:r>
      <w:bookmarkStart w:id="122" w:name="建筑迎背风面风压差表_建筑名"/>
      <w:r>
        <w:rPr>
          <w:sz w:val="18"/>
          <w:szCs w:val="18"/>
        </w:rPr>
        <w:t>建筑</w:t>
      </w:r>
      <w:bookmarkEnd w:id="122"/>
      <w:r>
        <w:rPr>
          <w:rFonts w:hint="eastAsia"/>
          <w:sz w:val="18"/>
          <w:szCs w:val="18"/>
        </w:rPr>
        <w:t>迎背风面窗平均风压差表</w:t>
      </w:r>
    </w:p>
    <w:tbl>
      <w:tblPr>
        <w:tblStyle w:val="21"/>
        <w:tblW w:w="822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61"/>
        <w:gridCol w:w="2142"/>
        <w:gridCol w:w="2268"/>
        <w:gridCol w:w="2551"/>
      </w:tblGrid>
      <w:tr w14:paraId="3168A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shd w:val="clear" w:color="auto" w:fill="E6E6E6"/>
            <w:vAlign w:val="center"/>
          </w:tcPr>
          <w:p w14:paraId="07559A31">
            <w:pPr>
              <w:spacing w:line="400" w:lineRule="exact"/>
              <w:jc w:val="center"/>
              <w:rPr>
                <w:sz w:val="18"/>
                <w:szCs w:val="18"/>
                <w:lang w:val="en-US"/>
              </w:rPr>
            </w:pPr>
            <w:r>
              <w:rPr>
                <w:rFonts w:hint="eastAsia"/>
                <w:sz w:val="18"/>
                <w:szCs w:val="18"/>
                <w:lang w:val="en-US"/>
              </w:rPr>
              <w:t>区域</w:t>
            </w:r>
          </w:p>
        </w:tc>
        <w:tc>
          <w:tcPr>
            <w:tcW w:w="2142" w:type="dxa"/>
            <w:shd w:val="clear" w:color="auto" w:fill="E6E6E6"/>
            <w:vAlign w:val="center"/>
          </w:tcPr>
          <w:p w14:paraId="0BBBF6BE">
            <w:pPr>
              <w:spacing w:line="400" w:lineRule="exact"/>
              <w:jc w:val="center"/>
              <w:rPr>
                <w:sz w:val="18"/>
                <w:szCs w:val="18"/>
                <w:lang w:val="en-US"/>
              </w:rPr>
            </w:pPr>
            <w:r>
              <w:rPr>
                <w:rFonts w:hint="eastAsia"/>
                <w:sz w:val="18"/>
                <w:szCs w:val="18"/>
                <w:lang w:val="en-US"/>
              </w:rPr>
              <w:t>迎风面窗平均风压</w:t>
            </w:r>
            <w:r>
              <w:rPr>
                <w:sz w:val="18"/>
                <w:szCs w:val="18"/>
                <w:lang w:val="en-US"/>
              </w:rPr>
              <w:t>(Pa)</w:t>
            </w:r>
          </w:p>
        </w:tc>
        <w:tc>
          <w:tcPr>
            <w:tcW w:w="2268" w:type="dxa"/>
            <w:shd w:val="clear" w:color="auto" w:fill="E6E6E6"/>
            <w:vAlign w:val="center"/>
          </w:tcPr>
          <w:p w14:paraId="34671421">
            <w:pPr>
              <w:spacing w:line="400" w:lineRule="exact"/>
              <w:jc w:val="center"/>
              <w:rPr>
                <w:sz w:val="18"/>
                <w:szCs w:val="18"/>
                <w:lang w:val="en-US"/>
              </w:rPr>
            </w:pPr>
            <w:r>
              <w:rPr>
                <w:rFonts w:hint="eastAsia"/>
                <w:sz w:val="18"/>
                <w:szCs w:val="18"/>
                <w:lang w:val="en-US"/>
              </w:rPr>
              <w:t>背风面窗平均风压</w:t>
            </w:r>
            <w:r>
              <w:rPr>
                <w:sz w:val="18"/>
                <w:szCs w:val="18"/>
                <w:lang w:val="en-US"/>
              </w:rPr>
              <w:t>(Pa)</w:t>
            </w:r>
          </w:p>
        </w:tc>
        <w:tc>
          <w:tcPr>
            <w:tcW w:w="2551" w:type="dxa"/>
            <w:shd w:val="clear" w:color="auto" w:fill="E6E6E6"/>
            <w:vAlign w:val="center"/>
          </w:tcPr>
          <w:p w14:paraId="61AF4F77">
            <w:pPr>
              <w:spacing w:line="400" w:lineRule="exact"/>
              <w:jc w:val="center"/>
              <w:rPr>
                <w:sz w:val="18"/>
                <w:szCs w:val="18"/>
                <w:lang w:val="en-US"/>
              </w:rPr>
            </w:pPr>
            <w:r>
              <w:rPr>
                <w:rFonts w:hint="eastAsia"/>
                <w:sz w:val="18"/>
                <w:szCs w:val="18"/>
                <w:lang w:val="en-US"/>
              </w:rPr>
              <w:t>迎背风面窗平均风压差</w:t>
            </w:r>
            <w:r>
              <w:rPr>
                <w:sz w:val="18"/>
                <w:szCs w:val="18"/>
                <w:lang w:val="en-US"/>
              </w:rPr>
              <w:t>(Pa)</w:t>
            </w:r>
          </w:p>
        </w:tc>
      </w:tr>
      <w:tr w14:paraId="4CF3B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6620C17F">
            <w:pPr>
              <w:spacing w:line="400" w:lineRule="exact"/>
              <w:jc w:val="center"/>
              <w:rPr>
                <w:sz w:val="18"/>
                <w:szCs w:val="18"/>
                <w:lang w:val="en-US"/>
              </w:rPr>
            </w:pPr>
            <w:r>
              <w:rPr>
                <w:rFonts w:hint="eastAsia"/>
                <w:sz w:val="18"/>
                <w:szCs w:val="18"/>
                <w:lang w:val="en-US"/>
              </w:rPr>
              <w:t>1层</w:t>
            </w:r>
          </w:p>
        </w:tc>
        <w:tc>
          <w:tcPr>
            <w:tcW w:w="2142" w:type="dxa"/>
            <w:vAlign w:val="center"/>
          </w:tcPr>
          <w:p w14:paraId="2AA483ED">
            <w:pPr>
              <w:spacing w:line="400" w:lineRule="exact"/>
              <w:jc w:val="center"/>
              <w:rPr>
                <w:sz w:val="18"/>
                <w:szCs w:val="18"/>
                <w:lang w:val="en-US"/>
              </w:rPr>
            </w:pPr>
            <w:r>
              <w:rPr>
                <w:sz w:val="18"/>
                <w:szCs w:val="18"/>
                <w:lang w:val="en-US"/>
              </w:rPr>
              <w:t>2.35</w:t>
            </w:r>
          </w:p>
        </w:tc>
        <w:tc>
          <w:tcPr>
            <w:tcW w:w="2268" w:type="dxa"/>
            <w:vAlign w:val="center"/>
          </w:tcPr>
          <w:p w14:paraId="140F8534">
            <w:pPr>
              <w:spacing w:line="400" w:lineRule="exact"/>
              <w:jc w:val="center"/>
              <w:rPr>
                <w:sz w:val="18"/>
                <w:szCs w:val="18"/>
                <w:lang w:val="en-US"/>
              </w:rPr>
            </w:pPr>
            <w:r>
              <w:rPr>
                <w:sz w:val="18"/>
                <w:szCs w:val="18"/>
                <w:lang w:val="en-US"/>
              </w:rPr>
              <w:t>-2.06</w:t>
            </w:r>
          </w:p>
        </w:tc>
        <w:tc>
          <w:tcPr>
            <w:tcW w:w="2551" w:type="dxa"/>
            <w:vAlign w:val="center"/>
          </w:tcPr>
          <w:p w14:paraId="2295BABC">
            <w:pPr>
              <w:spacing w:line="400" w:lineRule="exact"/>
              <w:jc w:val="center"/>
              <w:rPr>
                <w:sz w:val="18"/>
                <w:szCs w:val="18"/>
                <w:lang w:val="en-US"/>
              </w:rPr>
            </w:pPr>
            <w:r>
              <w:rPr>
                <w:sz w:val="18"/>
                <w:szCs w:val="18"/>
                <w:lang w:val="en-US"/>
              </w:rPr>
              <w:t>4.41</w:t>
            </w:r>
          </w:p>
        </w:tc>
      </w:tr>
      <w:tr w14:paraId="6DEDF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298590B6">
            <w:pPr>
              <w:spacing w:line="400" w:lineRule="exact"/>
              <w:jc w:val="center"/>
              <w:rPr>
                <w:sz w:val="18"/>
                <w:szCs w:val="18"/>
                <w:lang w:val="en-US"/>
              </w:rPr>
            </w:pPr>
            <w:r>
              <w:rPr>
                <w:sz w:val="18"/>
                <w:szCs w:val="18"/>
                <w:lang w:val="en-US"/>
              </w:rPr>
              <w:t>2层</w:t>
            </w:r>
          </w:p>
        </w:tc>
        <w:tc>
          <w:tcPr>
            <w:tcW w:w="2142" w:type="dxa"/>
            <w:vAlign w:val="center"/>
          </w:tcPr>
          <w:p w14:paraId="5E03D430">
            <w:pPr>
              <w:spacing w:line="400" w:lineRule="exact"/>
              <w:jc w:val="center"/>
              <w:rPr>
                <w:sz w:val="18"/>
                <w:szCs w:val="18"/>
                <w:lang w:val="en-US"/>
              </w:rPr>
            </w:pPr>
            <w:r>
              <w:rPr>
                <w:sz w:val="18"/>
                <w:szCs w:val="18"/>
                <w:lang w:val="en-US"/>
              </w:rPr>
              <w:t>0.69</w:t>
            </w:r>
          </w:p>
        </w:tc>
        <w:tc>
          <w:tcPr>
            <w:tcW w:w="2268" w:type="dxa"/>
            <w:vAlign w:val="center"/>
          </w:tcPr>
          <w:p w14:paraId="643A40D1">
            <w:pPr>
              <w:spacing w:line="400" w:lineRule="exact"/>
              <w:jc w:val="center"/>
              <w:rPr>
                <w:sz w:val="18"/>
                <w:szCs w:val="18"/>
                <w:lang w:val="en-US"/>
              </w:rPr>
            </w:pPr>
            <w:r>
              <w:rPr>
                <w:sz w:val="18"/>
                <w:szCs w:val="18"/>
                <w:lang w:val="en-US"/>
              </w:rPr>
              <w:t>-2.26</w:t>
            </w:r>
          </w:p>
        </w:tc>
        <w:tc>
          <w:tcPr>
            <w:tcW w:w="2551" w:type="dxa"/>
            <w:vAlign w:val="center"/>
          </w:tcPr>
          <w:p w14:paraId="27006ED8">
            <w:pPr>
              <w:spacing w:line="400" w:lineRule="exact"/>
              <w:jc w:val="center"/>
              <w:rPr>
                <w:sz w:val="18"/>
                <w:szCs w:val="18"/>
                <w:lang w:val="en-US"/>
              </w:rPr>
            </w:pPr>
            <w:r>
              <w:rPr>
                <w:sz w:val="18"/>
                <w:szCs w:val="18"/>
                <w:lang w:val="en-US"/>
              </w:rPr>
              <w:t>2.95</w:t>
            </w:r>
          </w:p>
        </w:tc>
      </w:tr>
      <w:tr w14:paraId="02DB9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4741D111">
            <w:pPr>
              <w:spacing w:line="400" w:lineRule="exact"/>
              <w:jc w:val="center"/>
              <w:rPr>
                <w:sz w:val="18"/>
                <w:szCs w:val="18"/>
                <w:lang w:val="en-US"/>
              </w:rPr>
            </w:pPr>
            <w:r>
              <w:rPr>
                <w:sz w:val="18"/>
                <w:szCs w:val="18"/>
                <w:lang w:val="en-US"/>
              </w:rPr>
              <w:t>3层</w:t>
            </w:r>
          </w:p>
        </w:tc>
        <w:tc>
          <w:tcPr>
            <w:tcW w:w="2142" w:type="dxa"/>
            <w:vAlign w:val="center"/>
          </w:tcPr>
          <w:p w14:paraId="6CD41BC7">
            <w:pPr>
              <w:spacing w:line="400" w:lineRule="exact"/>
              <w:jc w:val="center"/>
              <w:rPr>
                <w:sz w:val="18"/>
                <w:szCs w:val="18"/>
                <w:lang w:val="en-US"/>
              </w:rPr>
            </w:pPr>
            <w:r>
              <w:rPr>
                <w:sz w:val="18"/>
                <w:szCs w:val="18"/>
                <w:lang w:val="en-US"/>
              </w:rPr>
              <w:t>3.19</w:t>
            </w:r>
          </w:p>
        </w:tc>
        <w:tc>
          <w:tcPr>
            <w:tcW w:w="2268" w:type="dxa"/>
            <w:vAlign w:val="center"/>
          </w:tcPr>
          <w:p w14:paraId="0C3B873B">
            <w:pPr>
              <w:spacing w:line="400" w:lineRule="exact"/>
              <w:jc w:val="center"/>
              <w:rPr>
                <w:sz w:val="18"/>
                <w:szCs w:val="18"/>
                <w:lang w:val="en-US"/>
              </w:rPr>
            </w:pPr>
            <w:r>
              <w:rPr>
                <w:sz w:val="18"/>
                <w:szCs w:val="18"/>
                <w:lang w:val="en-US"/>
              </w:rPr>
              <w:t>-2.35</w:t>
            </w:r>
          </w:p>
        </w:tc>
        <w:tc>
          <w:tcPr>
            <w:tcW w:w="2551" w:type="dxa"/>
            <w:vAlign w:val="center"/>
          </w:tcPr>
          <w:p w14:paraId="0FC3ABD6">
            <w:pPr>
              <w:spacing w:line="400" w:lineRule="exact"/>
              <w:jc w:val="center"/>
              <w:rPr>
                <w:sz w:val="18"/>
                <w:szCs w:val="18"/>
                <w:lang w:val="en-US"/>
              </w:rPr>
            </w:pPr>
            <w:r>
              <w:rPr>
                <w:sz w:val="18"/>
                <w:szCs w:val="18"/>
                <w:lang w:val="en-US"/>
              </w:rPr>
              <w:t>5.54</w:t>
            </w:r>
          </w:p>
        </w:tc>
      </w:tr>
      <w:tr w14:paraId="236A9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2C018E6B">
            <w:pPr>
              <w:spacing w:line="400" w:lineRule="exact"/>
              <w:jc w:val="center"/>
              <w:rPr>
                <w:sz w:val="18"/>
                <w:szCs w:val="18"/>
                <w:lang w:val="en-US"/>
              </w:rPr>
            </w:pPr>
            <w:r>
              <w:rPr>
                <w:rFonts w:hint="eastAsia"/>
                <w:sz w:val="18"/>
                <w:szCs w:val="18"/>
                <w:lang w:val="en-US"/>
              </w:rPr>
              <w:t>4层</w:t>
            </w:r>
          </w:p>
        </w:tc>
        <w:tc>
          <w:tcPr>
            <w:tcW w:w="2142" w:type="dxa"/>
            <w:vAlign w:val="center"/>
          </w:tcPr>
          <w:p w14:paraId="3B8490C2">
            <w:pPr>
              <w:spacing w:line="400" w:lineRule="exact"/>
              <w:jc w:val="center"/>
              <w:rPr>
                <w:sz w:val="18"/>
                <w:szCs w:val="18"/>
                <w:lang w:val="en-US"/>
              </w:rPr>
            </w:pPr>
            <w:r>
              <w:rPr>
                <w:sz w:val="18"/>
                <w:szCs w:val="18"/>
                <w:lang w:val="en-US"/>
              </w:rPr>
              <w:t>0.77</w:t>
            </w:r>
          </w:p>
        </w:tc>
        <w:tc>
          <w:tcPr>
            <w:tcW w:w="2268" w:type="dxa"/>
            <w:vAlign w:val="center"/>
          </w:tcPr>
          <w:p w14:paraId="576A8B0B">
            <w:pPr>
              <w:spacing w:line="400" w:lineRule="exact"/>
              <w:jc w:val="center"/>
              <w:rPr>
                <w:sz w:val="18"/>
                <w:szCs w:val="18"/>
                <w:lang w:val="en-US"/>
              </w:rPr>
            </w:pPr>
            <w:r>
              <w:rPr>
                <w:sz w:val="18"/>
                <w:szCs w:val="18"/>
                <w:lang w:val="en-US"/>
              </w:rPr>
              <w:t>-3.30</w:t>
            </w:r>
          </w:p>
        </w:tc>
        <w:tc>
          <w:tcPr>
            <w:tcW w:w="2551" w:type="dxa"/>
            <w:vAlign w:val="center"/>
          </w:tcPr>
          <w:p w14:paraId="469B082D">
            <w:pPr>
              <w:spacing w:line="400" w:lineRule="exact"/>
              <w:jc w:val="center"/>
              <w:rPr>
                <w:sz w:val="18"/>
                <w:szCs w:val="18"/>
                <w:lang w:val="en-US"/>
              </w:rPr>
            </w:pPr>
            <w:r>
              <w:rPr>
                <w:sz w:val="18"/>
                <w:szCs w:val="18"/>
                <w:lang w:val="en-US"/>
              </w:rPr>
              <w:t>4.07</w:t>
            </w:r>
          </w:p>
        </w:tc>
      </w:tr>
      <w:tr w14:paraId="52009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1BA4FFD2">
            <w:pPr>
              <w:spacing w:line="400" w:lineRule="exact"/>
              <w:jc w:val="center"/>
              <w:rPr>
                <w:sz w:val="18"/>
                <w:szCs w:val="18"/>
                <w:lang w:val="en-US"/>
              </w:rPr>
            </w:pPr>
            <w:r>
              <w:rPr>
                <w:rFonts w:hint="eastAsia"/>
                <w:sz w:val="18"/>
                <w:szCs w:val="18"/>
                <w:lang w:val="en-US"/>
              </w:rPr>
              <w:t>整楼</w:t>
            </w:r>
          </w:p>
        </w:tc>
        <w:tc>
          <w:tcPr>
            <w:tcW w:w="2142" w:type="dxa"/>
            <w:vAlign w:val="center"/>
          </w:tcPr>
          <w:p w14:paraId="2FE48483">
            <w:pPr>
              <w:spacing w:line="400" w:lineRule="exact"/>
              <w:jc w:val="center"/>
              <w:rPr>
                <w:sz w:val="18"/>
                <w:szCs w:val="18"/>
                <w:lang w:val="en-US"/>
              </w:rPr>
            </w:pPr>
            <w:r>
              <w:rPr>
                <w:sz w:val="18"/>
                <w:szCs w:val="18"/>
                <w:lang w:val="en-US"/>
              </w:rPr>
              <w:t>1.45</w:t>
            </w:r>
          </w:p>
        </w:tc>
        <w:tc>
          <w:tcPr>
            <w:tcW w:w="2268" w:type="dxa"/>
            <w:vAlign w:val="center"/>
          </w:tcPr>
          <w:p w14:paraId="181DBB24">
            <w:pPr>
              <w:spacing w:line="400" w:lineRule="exact"/>
              <w:jc w:val="center"/>
              <w:rPr>
                <w:sz w:val="18"/>
                <w:szCs w:val="18"/>
                <w:lang w:val="en-US"/>
              </w:rPr>
            </w:pPr>
            <w:r>
              <w:rPr>
                <w:sz w:val="18"/>
                <w:szCs w:val="18"/>
                <w:lang w:val="en-US"/>
              </w:rPr>
              <w:t>-2.61</w:t>
            </w:r>
          </w:p>
        </w:tc>
        <w:tc>
          <w:tcPr>
            <w:tcW w:w="2551" w:type="dxa"/>
            <w:vAlign w:val="center"/>
          </w:tcPr>
          <w:p w14:paraId="404501E2">
            <w:pPr>
              <w:spacing w:line="400" w:lineRule="exact"/>
              <w:jc w:val="center"/>
              <w:rPr>
                <w:sz w:val="18"/>
                <w:szCs w:val="18"/>
                <w:lang w:val="en-US"/>
              </w:rPr>
            </w:pPr>
            <w:r>
              <w:rPr>
                <w:sz w:val="18"/>
                <w:szCs w:val="18"/>
                <w:lang w:val="en-US"/>
              </w:rPr>
              <w:t>4.06</w:t>
            </w:r>
          </w:p>
        </w:tc>
      </w:tr>
      <w:bookmarkEnd w:id="0"/>
    </w:tbl>
    <w:p w14:paraId="4E10A17E">
      <w:bookmarkStart w:id="123" w:name="结论"/>
      <w:bookmarkEnd w:id="123"/>
    </w:p>
    <w:p w14:paraId="4761C3F9">
      <w:pPr>
        <w:pStyle w:val="3"/>
        <w:ind w:firstLine="420"/>
        <w:rPr>
          <w:rFonts w:ascii="微软雅黑" w:hAnsi="微软雅黑" w:eastAsia="微软雅黑"/>
          <w:lang w:val="en-US"/>
        </w:rPr>
      </w:pPr>
      <w:bookmarkStart w:id="124" w:name="迎风建筑信息参评"/>
      <w:bookmarkEnd w:id="124"/>
    </w:p>
    <w:p w14:paraId="1E0503D6">
      <w:pPr>
        <w:pStyle w:val="4"/>
      </w:pPr>
      <w:bookmarkStart w:id="125" w:name="_Toc28598"/>
      <w:r>
        <w:rPr>
          <w:rFonts w:hint="eastAsia"/>
        </w:rPr>
        <w:t>不参评建筑迎背风面窗平均风压差表</w:t>
      </w:r>
      <w:bookmarkEnd w:id="125"/>
    </w:p>
    <w:p w14:paraId="4AB4C42B">
      <w:pPr>
        <w:pStyle w:val="3"/>
        <w:ind w:firstLine="420"/>
        <w:rPr>
          <w:rFonts w:ascii="微软雅黑" w:hAnsi="微软雅黑" w:eastAsia="微软雅黑"/>
          <w:lang w:val="en-US"/>
        </w:rPr>
      </w:pPr>
      <w:bookmarkStart w:id="126" w:name="迎风建筑信息不参评"/>
      <w:bookmarkEnd w:id="126"/>
    </w:p>
    <w:bookmarkEnd w:id="120"/>
    <w:p w14:paraId="6F20C53A">
      <w:pPr>
        <w:pStyle w:val="3"/>
        <w:ind w:firstLine="0" w:firstLineChars="0"/>
        <w:rPr>
          <w:rFonts w:ascii="微软雅黑" w:hAnsi="微软雅黑" w:eastAsia="微软雅黑"/>
          <w:lang w:val="en-US"/>
        </w:rPr>
      </w:pPr>
    </w:p>
    <w:sectPr>
      <w:headerReference r:id="rId6" w:type="default"/>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0F5C1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477A7D0F">
          <w:pPr>
            <w:pStyle w:val="17"/>
            <w:spacing w:line="360" w:lineRule="exact"/>
            <w:rPr>
              <w:sz w:val="20"/>
              <w:szCs w:val="21"/>
            </w:rPr>
          </w:pPr>
        </w:p>
      </w:tc>
      <w:tc>
        <w:tcPr>
          <w:tcW w:w="2841" w:type="dxa"/>
        </w:tcPr>
        <w:p w14:paraId="5AEC85BB">
          <w:pPr>
            <w:pStyle w:val="17"/>
            <w:spacing w:line="360" w:lineRule="exact"/>
            <w:jc w:val="center"/>
            <w:rPr>
              <w:sz w:val="20"/>
              <w:szCs w:val="21"/>
            </w:rPr>
          </w:pPr>
          <w:sdt>
            <w:sdtPr>
              <w:rPr>
                <w:sz w:val="20"/>
              </w:rPr>
              <w:id w:val="-524636966"/>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112EEAAF">
          <w:pPr>
            <w:pStyle w:val="17"/>
            <w:spacing w:line="360" w:lineRule="exact"/>
            <w:jc w:val="right"/>
            <w:rPr>
              <w:sz w:val="20"/>
              <w:szCs w:val="21"/>
            </w:rPr>
          </w:pPr>
        </w:p>
      </w:tc>
    </w:tr>
  </w:tbl>
  <w:p w14:paraId="58E9751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3D376">
    <w:pPr>
      <w:pStyle w:val="17"/>
      <w:jc w:val="center"/>
      <w:rPr>
        <w:rFonts w:asciiTheme="minorEastAsia" w:hAnsiTheme="minorEastAsia" w:eastAsiaTheme="minorEastAsia"/>
        <w:szCs w:val="21"/>
      </w:rPr>
    </w:pPr>
  </w:p>
  <w:p w14:paraId="2C276A9F">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264A6">
    <w:pPr>
      <w:pStyle w:val="18"/>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40C77">
    <w:pPr>
      <w:pStyle w:val="18"/>
      <w:pBdr>
        <w:bottom w:val="single" w:color="auto" w:sz="6" w:space="0"/>
      </w:pBdr>
      <w:jc w:val="left"/>
    </w:pPr>
    <w:r>
      <w:rPr>
        <w:lang w:val="en-US"/>
      </w:rPr>
      <w:drawing>
        <wp:inline distT="0" distB="0" distL="0" distR="0">
          <wp:extent cx="866140" cy="2514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E264B"/>
    <w:rsid w:val="00000E39"/>
    <w:rsid w:val="00005045"/>
    <w:rsid w:val="0000578F"/>
    <w:rsid w:val="0002001E"/>
    <w:rsid w:val="000219DF"/>
    <w:rsid w:val="000268F9"/>
    <w:rsid w:val="00037A4C"/>
    <w:rsid w:val="000678A8"/>
    <w:rsid w:val="00067FD6"/>
    <w:rsid w:val="00070047"/>
    <w:rsid w:val="00073958"/>
    <w:rsid w:val="00076B16"/>
    <w:rsid w:val="00076D70"/>
    <w:rsid w:val="00081A16"/>
    <w:rsid w:val="000835FF"/>
    <w:rsid w:val="000A18D8"/>
    <w:rsid w:val="000A23A8"/>
    <w:rsid w:val="000A3C68"/>
    <w:rsid w:val="000B78A5"/>
    <w:rsid w:val="000C146F"/>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65FC"/>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12A0"/>
    <w:rsid w:val="002D2322"/>
    <w:rsid w:val="002E4CD4"/>
    <w:rsid w:val="002E702B"/>
    <w:rsid w:val="0030437C"/>
    <w:rsid w:val="00305A07"/>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732"/>
    <w:rsid w:val="005A7F1B"/>
    <w:rsid w:val="005B7445"/>
    <w:rsid w:val="005C069E"/>
    <w:rsid w:val="005C6629"/>
    <w:rsid w:val="005D1E21"/>
    <w:rsid w:val="005E2482"/>
    <w:rsid w:val="005F1609"/>
    <w:rsid w:val="005F4F73"/>
    <w:rsid w:val="005F689E"/>
    <w:rsid w:val="006031E6"/>
    <w:rsid w:val="006105F7"/>
    <w:rsid w:val="006156D5"/>
    <w:rsid w:val="0062338D"/>
    <w:rsid w:val="006254D5"/>
    <w:rsid w:val="00634E08"/>
    <w:rsid w:val="00642291"/>
    <w:rsid w:val="00642309"/>
    <w:rsid w:val="00646118"/>
    <w:rsid w:val="00647810"/>
    <w:rsid w:val="00654C63"/>
    <w:rsid w:val="00661405"/>
    <w:rsid w:val="00662EF0"/>
    <w:rsid w:val="006645DE"/>
    <w:rsid w:val="00670E9B"/>
    <w:rsid w:val="006723F0"/>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260D0"/>
    <w:rsid w:val="007302A5"/>
    <w:rsid w:val="00732D83"/>
    <w:rsid w:val="007363B1"/>
    <w:rsid w:val="00741470"/>
    <w:rsid w:val="007446D1"/>
    <w:rsid w:val="00745913"/>
    <w:rsid w:val="0074750E"/>
    <w:rsid w:val="00751D7B"/>
    <w:rsid w:val="00754FB6"/>
    <w:rsid w:val="00762314"/>
    <w:rsid w:val="007628A1"/>
    <w:rsid w:val="00767FE1"/>
    <w:rsid w:val="00777C7C"/>
    <w:rsid w:val="00781187"/>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13E64"/>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24AA"/>
    <w:rsid w:val="00B84271"/>
    <w:rsid w:val="00B86C89"/>
    <w:rsid w:val="00BA25C3"/>
    <w:rsid w:val="00BB1BF9"/>
    <w:rsid w:val="00BD0C1B"/>
    <w:rsid w:val="00BD7E90"/>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15CB"/>
    <w:rsid w:val="00DA4173"/>
    <w:rsid w:val="00DA66B2"/>
    <w:rsid w:val="00DB09A4"/>
    <w:rsid w:val="00DC5E38"/>
    <w:rsid w:val="00DC73AD"/>
    <w:rsid w:val="00DD16C4"/>
    <w:rsid w:val="00DD2870"/>
    <w:rsid w:val="00DE6D07"/>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93A42"/>
    <w:rsid w:val="00EA30EF"/>
    <w:rsid w:val="00EA5DEE"/>
    <w:rsid w:val="00EB1BD1"/>
    <w:rsid w:val="00EB5344"/>
    <w:rsid w:val="00EB67C0"/>
    <w:rsid w:val="00EE1BA7"/>
    <w:rsid w:val="00EE68A9"/>
    <w:rsid w:val="00EE7411"/>
    <w:rsid w:val="00EF3DA5"/>
    <w:rsid w:val="00EF7114"/>
    <w:rsid w:val="00F0656F"/>
    <w:rsid w:val="00F10F02"/>
    <w:rsid w:val="00F30C12"/>
    <w:rsid w:val="00F44EF3"/>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24CF1E67"/>
    <w:rsid w:val="3E2E2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autoRedefine/>
    <w:qFormat/>
    <w:uiPriority w:val="0"/>
    <w:pPr>
      <w:keepNext/>
      <w:numPr>
        <w:ilvl w:val="3"/>
        <w:numId w:val="1"/>
      </w:numPr>
      <w:ind w:left="862" w:hanging="862"/>
      <w:outlineLvl w:val="3"/>
    </w:pPr>
    <w:rPr>
      <w:b/>
      <w:bCs/>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100" w:firstLineChars="100"/>
    </w:pPr>
    <w:rPr>
      <w:kern w:val="2"/>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0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 w:val="right" w:leader="dot" w:pos="8296"/>
      </w:tabs>
      <w:spacing w:line="40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rFonts w:eastAsia="微软雅黑"/>
      <w:b/>
      <w:bCs/>
      <w:kern w:val="32"/>
      <w:sz w:val="28"/>
      <w:szCs w:val="28"/>
    </w:rPr>
  </w:style>
  <w:style w:type="character" w:customStyle="1" w:styleId="28">
    <w:name w:val="标题 2 字符"/>
    <w:link w:val="4"/>
    <w:qFormat/>
    <w:uiPriority w:val="0"/>
    <w:rPr>
      <w:rFonts w:ascii="微软雅黑" w:hAnsi="微软雅黑" w:eastAsia="微软雅黑" w:cs="微软雅黑"/>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autoRedefine/>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rFonts w:ascii="微软雅黑" w:hAnsi="微软雅黑" w:eastAsia="微软雅黑" w:cs="微软雅黑"/>
      <w:b/>
      <w:bCs/>
      <w:sz w:val="21"/>
      <w:szCs w:val="21"/>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szCs w:val="20"/>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numbering" Target="numbering.xml"/><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wmf"/><Relationship Id="rId27" Type="http://schemas.openxmlformats.org/officeDocument/2006/relationships/oleObject" Target="embeddings/oleObject7.bin"/><Relationship Id="rId26" Type="http://schemas.openxmlformats.org/officeDocument/2006/relationships/image" Target="media/image14.wmf"/><Relationship Id="rId25" Type="http://schemas.openxmlformats.org/officeDocument/2006/relationships/oleObject" Target="embeddings/oleObject6.bin"/><Relationship Id="rId24" Type="http://schemas.openxmlformats.org/officeDocument/2006/relationships/image" Target="media/image13.wmf"/><Relationship Id="rId23" Type="http://schemas.openxmlformats.org/officeDocument/2006/relationships/oleObject" Target="embeddings/oleObject5.bin"/><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wmf"/><Relationship Id="rId17" Type="http://schemas.openxmlformats.org/officeDocument/2006/relationships/oleObject" Target="embeddings/oleObject2.bin"/><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ne\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8A27-FDC9-4E87-B56C-41D9041062CF}">
  <ds:schemaRefs/>
</ds:datastoreItem>
</file>

<file path=docProps/app.xml><?xml version="1.0" encoding="utf-8"?>
<Properties xmlns="http://schemas.openxmlformats.org/officeDocument/2006/extended-properties" xmlns:vt="http://schemas.openxmlformats.org/officeDocument/2006/docPropsVTypes">
  <Template>tmp5.dotx</Template>
  <Pages>18</Pages>
  <Words>4804</Words>
  <Characters>5481</Characters>
  <Lines>47</Lines>
  <Paragraphs>13</Paragraphs>
  <TotalTime>2</TotalTime>
  <ScaleCrop>false</ScaleCrop>
  <LinksUpToDate>false</LinksUpToDate>
  <CharactersWithSpaces>7349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2025-12-27T17:36:00Z</dcterms:created>
  <dc:creator>Just</dc:creator>
  <cp:lastModifiedBy>Just</cp:lastModifiedBy>
  <dcterms:modified xsi:type="dcterms:W3CDTF">2025-12-27T17:40:11Z</dcterms:modified>
  <dc:title>室外风环境模拟分析报告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95C11660EB664CF7B7F506C48E5F0EC4_11</vt:lpwstr>
  </property>
  <property fmtid="{D5CDD505-2E9C-101B-9397-08002B2CF9AE}" pid="4" name="KSOTemplateDocerSaveRecord">
    <vt:lpwstr>eyJoZGlkIjoiZWZiNjkyMGYyN2VjZmQ2NjZjMmI5OTFhOTQwY2EyYjUiLCJ1c2VySWQiOiIzMDk3NjE4NzEifQ==</vt:lpwstr>
  </property>
</Properties>
</file>