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8195C">
      <w:pPr>
        <w:pStyle w:val="2"/>
        <w:jc w:val="center"/>
      </w:pPr>
    </w:p>
    <w:p w14:paraId="011A1236">
      <w:pPr>
        <w:pStyle w:val="2"/>
        <w:jc w:val="center"/>
      </w:pPr>
    </w:p>
    <w:p w14:paraId="1231B37B">
      <w:pPr>
        <w:pStyle w:val="2"/>
        <w:jc w:val="center"/>
      </w:pPr>
    </w:p>
    <w:p w14:paraId="1D598148">
      <w:pPr>
        <w:pStyle w:val="2"/>
        <w:jc w:val="center"/>
      </w:pPr>
      <w:r>
        <w:rPr>
          <w:rFonts w:hint="eastAsia"/>
        </w:rPr>
        <w:t>地面停车率</w:t>
      </w:r>
      <w:r>
        <w:t>计算书</w:t>
      </w:r>
    </w:p>
    <w:p w14:paraId="746B3947">
      <w:pPr>
        <w:rPr>
          <w:kern w:val="44"/>
          <w:sz w:val="44"/>
          <w:szCs w:val="44"/>
        </w:rPr>
      </w:pPr>
      <w:r>
        <w:br w:type="page"/>
      </w:r>
    </w:p>
    <w:p w14:paraId="5579D905">
      <w:pPr>
        <w:pStyle w:val="3"/>
        <w:rPr>
          <w:rStyle w:val="12"/>
          <w:i w:val="0"/>
          <w:iCs w:val="0"/>
          <w:color w:val="auto"/>
        </w:rPr>
      </w:pPr>
      <w:r>
        <w:rPr>
          <w:rStyle w:val="12"/>
          <w:rFonts w:hint="eastAsia"/>
          <w:i w:val="0"/>
          <w:iCs w:val="0"/>
          <w:color w:val="auto"/>
        </w:rPr>
        <w:t>1</w:t>
      </w:r>
      <w:r>
        <w:rPr>
          <w:rStyle w:val="12"/>
          <w:i w:val="0"/>
          <w:iCs w:val="0"/>
          <w:color w:val="auto"/>
        </w:rPr>
        <w:t xml:space="preserve"> </w:t>
      </w:r>
      <w:r>
        <w:rPr>
          <w:rStyle w:val="12"/>
          <w:rFonts w:hint="eastAsia"/>
          <w:i w:val="0"/>
          <w:iCs w:val="0"/>
          <w:color w:val="auto"/>
        </w:rPr>
        <w:t>项目</w:t>
      </w:r>
      <w:r>
        <w:rPr>
          <w:rStyle w:val="12"/>
          <w:i w:val="0"/>
          <w:iCs w:val="0"/>
          <w:color w:val="auto"/>
        </w:rPr>
        <w:t>概况</w:t>
      </w:r>
    </w:p>
    <w:p w14:paraId="0AB95913">
      <w:pPr>
        <w:ind w:firstLine="482" w:firstLineChars="200"/>
        <w:rPr>
          <w:sz w:val="24"/>
        </w:rPr>
      </w:pPr>
      <w:r>
        <w:rPr>
          <w:b/>
          <w:sz w:val="24"/>
        </w:rPr>
        <w:t>项目名称</w:t>
      </w:r>
      <w:r>
        <w:rPr>
          <w:sz w:val="24"/>
        </w:rPr>
        <w:t>：</w:t>
      </w:r>
      <w:r>
        <w:rPr>
          <w:rFonts w:hint="eastAsia"/>
          <w:sz w:val="24"/>
        </w:rPr>
        <w:t>循迹·往复</w:t>
      </w:r>
      <w:r>
        <w:rPr>
          <w:rFonts w:hint="eastAsia"/>
          <w:sz w:val="24"/>
          <w:lang w:eastAsia="zh-CN"/>
        </w:rPr>
        <w:t>—</w:t>
      </w:r>
      <w:r>
        <w:rPr>
          <w:rFonts w:hint="eastAsia"/>
          <w:sz w:val="24"/>
        </w:rPr>
        <w:t>基于养分循环理论下的拖拉机厂片区微更新与建筑设计</w:t>
      </w:r>
    </w:p>
    <w:p w14:paraId="59848327">
      <w:pPr>
        <w:ind w:firstLine="480" w:firstLineChars="200"/>
        <w:rPr>
          <w:sz w:val="24"/>
        </w:rPr>
      </w:pPr>
      <w:r>
        <w:rPr>
          <w:sz w:val="24"/>
        </w:rPr>
        <w:t>项目位于</w:t>
      </w:r>
      <w:r>
        <w:rPr>
          <w:rFonts w:hint="eastAsia"/>
          <w:sz w:val="24"/>
          <w:lang w:val="en-US" w:eastAsia="zh-CN"/>
        </w:rPr>
        <w:t>吉林省长春市荣光</w:t>
      </w:r>
      <w:r>
        <w:rPr>
          <w:sz w:val="24"/>
        </w:rPr>
        <w:t xml:space="preserve">路。该项目总用地面积为 </w:t>
      </w:r>
      <w:r>
        <w:rPr>
          <w:rFonts w:hint="eastAsia"/>
          <w:sz w:val="24"/>
          <w:lang w:val="en-US" w:eastAsia="zh-CN"/>
        </w:rPr>
        <w:t>119285</w:t>
      </w:r>
      <w:r>
        <w:rPr>
          <w:sz w:val="24"/>
        </w:rPr>
        <w:t xml:space="preserve"> 平方米，建筑面积为 1</w:t>
      </w:r>
      <w:r>
        <w:rPr>
          <w:rFonts w:hint="eastAsia"/>
          <w:sz w:val="24"/>
          <w:lang w:val="en-US" w:eastAsia="zh-CN"/>
        </w:rPr>
        <w:t>0124</w:t>
      </w:r>
      <w:r>
        <w:rPr>
          <w:sz w:val="24"/>
        </w:rPr>
        <w:t>平方米。</w:t>
      </w:r>
    </w:p>
    <w:p w14:paraId="0C636E72">
      <w:pPr>
        <w:ind w:firstLine="480" w:firstLineChars="200"/>
        <w:rPr>
          <w:sz w:val="24"/>
        </w:rPr>
      </w:pPr>
      <w:r>
        <w:rPr>
          <w:sz w:val="24"/>
        </w:rPr>
        <w:drawing>
          <wp:inline distT="0" distB="0" distL="114300" distR="114300">
            <wp:extent cx="4618990" cy="3022600"/>
            <wp:effectExtent l="0" t="0" r="13970" b="10160"/>
            <wp:docPr id="2" name="图片 2" descr="建筑效果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建筑效果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899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1376F">
      <w:pPr>
        <w:jc w:val="center"/>
        <w:rPr>
          <w:sz w:val="24"/>
        </w:rPr>
      </w:pPr>
      <w:r>
        <w:rPr>
          <w:sz w:val="24"/>
        </w:rPr>
        <w:t>项目效果图</w:t>
      </w:r>
    </w:p>
    <w:p w14:paraId="2411FFD3">
      <w:pPr>
        <w:pStyle w:val="2"/>
        <w:rPr>
          <w:sz w:val="28"/>
        </w:rPr>
      </w:pPr>
      <w:r>
        <w:rPr>
          <w:rFonts w:hint="eastAsia"/>
          <w:sz w:val="28"/>
        </w:rPr>
        <w:t>2 标准要求</w:t>
      </w:r>
    </w:p>
    <w:p w14:paraId="3A7135F3">
      <w:pPr>
        <w:spacing w:line="276" w:lineRule="auto"/>
        <w:ind w:firstLine="420"/>
        <w:rPr>
          <w:sz w:val="24"/>
        </w:rPr>
      </w:pPr>
      <w:r>
        <w:rPr>
          <w:sz w:val="24"/>
        </w:rPr>
        <w:t>《绿色建筑</w:t>
      </w:r>
      <w:r>
        <w:rPr>
          <w:rFonts w:hint="eastAsia"/>
          <w:sz w:val="24"/>
        </w:rPr>
        <w:t>评价</w:t>
      </w:r>
      <w:r>
        <w:rPr>
          <w:sz w:val="24"/>
        </w:rPr>
        <w:t>标准》GB/T 50378-2019</w:t>
      </w:r>
      <w:r>
        <w:rPr>
          <w:rFonts w:hint="eastAsia"/>
          <w:sz w:val="24"/>
        </w:rPr>
        <w:t>（2</w:t>
      </w:r>
      <w:r>
        <w:rPr>
          <w:sz w:val="24"/>
        </w:rPr>
        <w:t>024</w:t>
      </w:r>
      <w:r>
        <w:rPr>
          <w:rFonts w:hint="eastAsia"/>
          <w:sz w:val="24"/>
        </w:rPr>
        <w:t>年版）</w:t>
      </w:r>
      <w:r>
        <w:rPr>
          <w:sz w:val="24"/>
        </w:rPr>
        <w:t>第7.2.3 条明确要求：</w:t>
      </w:r>
    </w:p>
    <w:p w14:paraId="4859CF2F"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采用机械式停车设施、地下停车库或地面停车楼等方式，评价分值为8分，并按下列规则评分：</w:t>
      </w:r>
    </w:p>
    <w:p w14:paraId="231504B2"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1   住宅建筑地面停车位数量与住宅总套数的比率应小于10%，得8分；</w:t>
      </w:r>
    </w:p>
    <w:p w14:paraId="3E8515EB"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2  公共建筑地面停车占地面积与其总建设用地面积的比率应小于8%，得8分。</w:t>
      </w:r>
    </w:p>
    <w:p w14:paraId="4C1E2E78">
      <w:pPr>
        <w:ind w:firstLine="420"/>
        <w:rPr>
          <w:rFonts w:asciiTheme="minorEastAsia" w:hAnsiTheme="minorEastAsia"/>
          <w:sz w:val="24"/>
          <w:szCs w:val="21"/>
        </w:rPr>
      </w:pPr>
    </w:p>
    <w:p w14:paraId="35D95973">
      <w:pPr>
        <w:pStyle w:val="2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 xml:space="preserve"> 计算</w:t>
      </w:r>
    </w:p>
    <w:p w14:paraId="469BFA8A">
      <w:pPr>
        <w:ind w:firstLine="420"/>
        <w:rPr>
          <w:u w:val="single"/>
        </w:rPr>
      </w:pPr>
      <w:r>
        <w:rPr>
          <w:rFonts w:hint="eastAsia"/>
        </w:rPr>
        <w:t>地面</w:t>
      </w:r>
      <w:r>
        <w:t>停车位数：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>198</w:t>
      </w:r>
      <w:bookmarkStart w:id="0" w:name="_GoBack"/>
      <w:bookmarkEnd w:id="0"/>
      <w:r>
        <w:rPr>
          <w:u w:val="single"/>
        </w:rPr>
        <w:t xml:space="preserve">     </w:t>
      </w:r>
      <w:r>
        <w:rPr>
          <w:rFonts w:hint="eastAsia"/>
          <w:u w:val="single"/>
        </w:rPr>
        <w:t>个</w:t>
      </w:r>
    </w:p>
    <w:p w14:paraId="26B4F596">
      <w:pPr>
        <w:ind w:firstLine="420"/>
      </w:pPr>
    </w:p>
    <w:p w14:paraId="1CD0D603">
      <w:pPr>
        <w:ind w:firstLine="420"/>
        <w:rPr>
          <w:u w:val="single"/>
        </w:rPr>
      </w:pPr>
      <w:r>
        <w:rPr>
          <w:rFonts w:hint="eastAsia"/>
        </w:rPr>
        <w:t>小区住宅套数</w:t>
      </w:r>
      <w:r>
        <w:t>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  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套</w:t>
      </w:r>
    </w:p>
    <w:p w14:paraId="5ED97753"/>
    <w:p w14:paraId="0D107E5A">
      <w:pPr>
        <w:ind w:firstLine="420"/>
      </w:pPr>
      <w:r>
        <w:rPr>
          <w:rFonts w:hint="eastAsia"/>
        </w:rPr>
        <w:t>地面停车率=地面停车占地面积/总建设用地面积</w:t>
      </w:r>
    </w:p>
    <w:p w14:paraId="1DABC9B8">
      <w:pPr>
        <w:ind w:left="1260" w:firstLine="210" w:firstLineChars="100"/>
      </w:pPr>
    </w:p>
    <w:p w14:paraId="59B6D265">
      <w:pPr>
        <w:ind w:left="1260" w:firstLine="210" w:firstLineChars="100"/>
        <w:rPr>
          <w:u w:val="single"/>
        </w:rPr>
      </w:pPr>
      <w:r>
        <w:rPr>
          <w:rFonts w:hint="eastAsia"/>
        </w:rPr>
        <w:t>=</w:t>
      </w:r>
      <w:r>
        <w:t xml:space="preserve"> 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4558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/   </w:t>
      </w:r>
      <w:r>
        <w:rPr>
          <w:rFonts w:hint="eastAsia"/>
          <w:u w:val="single"/>
          <w:lang w:val="en-US" w:eastAsia="zh-CN"/>
        </w:rPr>
        <w:t>119285</w:t>
      </w:r>
      <w:r>
        <w:rPr>
          <w:rFonts w:hint="eastAsia"/>
          <w:u w:val="single"/>
        </w:rPr>
        <w:t xml:space="preserve">   </w:t>
      </w:r>
      <w:r>
        <w:t xml:space="preserve">  =</w:t>
      </w:r>
      <w:r>
        <w:rPr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>3.8%</w:t>
      </w:r>
      <w:r>
        <w:rPr>
          <w:u w:val="single"/>
        </w:rPr>
        <w:t xml:space="preserve">   </w:t>
      </w:r>
    </w:p>
    <w:p w14:paraId="1738D955">
      <w:pPr>
        <w:rPr>
          <w:u w:val="single"/>
        </w:rPr>
      </w:pPr>
    </w:p>
    <w:p w14:paraId="6DA13FAB">
      <w:pPr>
        <w:rPr>
          <w:u w:val="single"/>
        </w:rPr>
      </w:pPr>
    </w:p>
    <w:p w14:paraId="4331F201">
      <w:pPr>
        <w:pStyle w:val="2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 xml:space="preserve"> 结论</w:t>
      </w:r>
    </w:p>
    <w:p w14:paraId="1F3260F9">
      <w:pPr>
        <w:rPr>
          <w:rFonts w:asciiTheme="minorEastAsia" w:hAnsiTheme="minorEastAsia"/>
          <w:sz w:val="24"/>
          <w:szCs w:val="21"/>
        </w:rPr>
      </w:pPr>
      <w:r>
        <w:tab/>
      </w:r>
      <w:r>
        <w:rPr>
          <w:rFonts w:hint="eastAsia" w:asciiTheme="minorEastAsia" w:hAnsiTheme="minorEastAsia"/>
          <w:sz w:val="24"/>
          <w:szCs w:val="21"/>
        </w:rPr>
        <w:t>经验算</w:t>
      </w:r>
      <w:r>
        <w:rPr>
          <w:rFonts w:asciiTheme="minorEastAsia" w:hAnsiTheme="minorEastAsia"/>
          <w:sz w:val="24"/>
          <w:szCs w:val="21"/>
        </w:rPr>
        <w:t>，</w:t>
      </w:r>
      <w:r>
        <w:rPr>
          <w:rFonts w:hint="eastAsia" w:asciiTheme="minorEastAsia" w:hAnsiTheme="minorEastAsia"/>
          <w:sz w:val="24"/>
          <w:szCs w:val="21"/>
        </w:rPr>
        <w:t xml:space="preserve">公共建筑地面停车占地面积与其总建设用地面积的比率为 </w:t>
      </w:r>
      <w:r>
        <w:rPr>
          <w:rFonts w:hint="eastAsia"/>
          <w:u w:val="none"/>
          <w:lang w:val="en-US" w:eastAsia="zh-CN"/>
        </w:rPr>
        <w:t>3.8%</w:t>
      </w:r>
      <w:r>
        <w:rPr>
          <w:rFonts w:hint="eastAsia" w:asciiTheme="minorEastAsia" w:hAnsiTheme="minorEastAsia"/>
          <w:sz w:val="24"/>
          <w:szCs w:val="21"/>
        </w:rPr>
        <w:t xml:space="preserve"> ，</w:t>
      </w:r>
      <w:r>
        <w:rPr>
          <w:rFonts w:asciiTheme="minorEastAsia" w:hAnsiTheme="minorEastAsia"/>
          <w:sz w:val="24"/>
          <w:szCs w:val="21"/>
        </w:rPr>
        <w:t>满足规范要求，可得</w:t>
      </w:r>
      <w:r>
        <w:rPr>
          <w:rFonts w:hint="eastAsia" w:asciiTheme="minorEastAsia" w:hAnsiTheme="minorEastAsia"/>
          <w:sz w:val="24"/>
          <w:szCs w:val="21"/>
        </w:rPr>
        <w:t>8分</w:t>
      </w:r>
      <w:r>
        <w:rPr>
          <w:rFonts w:asciiTheme="minorEastAsia" w:hAnsiTheme="minorEastAsia"/>
          <w:sz w:val="24"/>
          <w:szCs w:val="21"/>
        </w:rPr>
        <w:t>。</w:t>
      </w:r>
    </w:p>
    <w:p w14:paraId="4C40CBE1"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A6"/>
    <w:rsid w:val="003B2C32"/>
    <w:rsid w:val="00427EC4"/>
    <w:rsid w:val="00625AA6"/>
    <w:rsid w:val="00D221CD"/>
    <w:rsid w:val="00D35CD4"/>
    <w:rsid w:val="00E94094"/>
    <w:rsid w:val="20032679"/>
    <w:rsid w:val="36E36908"/>
    <w:rsid w:val="55EA3A39"/>
    <w:rsid w:val="75E4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1">
    <w:name w:val="副标题 字符"/>
    <w:basedOn w:val="9"/>
    <w:link w:val="6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2">
    <w:name w:val="Subtle Emphasis"/>
    <w:basedOn w:val="9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">
    <w:name w:val="标题 字符"/>
    <w:basedOn w:val="9"/>
    <w:link w:val="7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4">
    <w:name w:val="标题 2 字符"/>
    <w:basedOn w:val="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292</Words>
  <Characters>334</Characters>
  <Lines>3</Lines>
  <Paragraphs>1</Paragraphs>
  <TotalTime>21</TotalTime>
  <ScaleCrop>false</ScaleCrop>
  <LinksUpToDate>false</LinksUpToDate>
  <CharactersWithSpaces>408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2020-01-10T07:36:00Z</dcterms:created>
  <dc:creator>dongYP</dc:creator>
  <cp:lastModifiedBy>姆明谦米   o  o</cp:lastModifiedBy>
  <dcterms:modified xsi:type="dcterms:W3CDTF">2026-03-22T08:55:03Z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eyJoZGlkIjoiNmUxYzI3MGQ0YTIyNTgyNzAyZGI2MGEzMWEzMzRiNzkiLCJ1c2VySWQiOiI2ODkyNjA5MjAifQ==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BF232B8ACF87414B8518997169CF6251_12</vt:lpwstr>
  </property>
</Properties>
</file>