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5E3CA">
      <w:pPr>
        <w:bidi w:val="0"/>
        <w:jc w:val="center"/>
        <w:rPr>
          <w:rFonts w:hint="eastAsia" w:ascii="黑体" w:hAnsi="黑体" w:eastAsia="黑体" w:cs="黑体"/>
          <w:b/>
          <w:bCs/>
          <w:sz w:val="32"/>
          <w:szCs w:val="32"/>
        </w:rPr>
      </w:pPr>
      <w:r>
        <w:rPr>
          <w:rFonts w:hint="eastAsia" w:ascii="黑体" w:hAnsi="黑体" w:eastAsia="黑体" w:cs="黑体"/>
          <w:b/>
          <w:bCs/>
          <w:sz w:val="32"/>
          <w:szCs w:val="32"/>
        </w:rPr>
        <w:t>雨水控制利用专项规划设计</w:t>
      </w:r>
    </w:p>
    <w:p w14:paraId="313FF349">
      <w:pPr>
        <w:bidi w:val="0"/>
        <w:rPr>
          <w:b/>
          <w:bCs/>
          <w:sz w:val="24"/>
          <w:szCs w:val="24"/>
        </w:rPr>
      </w:pPr>
      <w:r>
        <w:rPr>
          <w:b/>
          <w:bCs/>
          <w:sz w:val="24"/>
          <w:szCs w:val="24"/>
        </w:rPr>
        <w:t>1. 项目概况与设计目标</w:t>
      </w:r>
    </w:p>
    <w:p w14:paraId="3477243E">
      <w:pPr>
        <w:bidi w:val="0"/>
        <w:rPr>
          <w:sz w:val="24"/>
          <w:szCs w:val="24"/>
        </w:rPr>
      </w:pPr>
      <w:r>
        <w:rPr>
          <w:sz w:val="24"/>
          <w:szCs w:val="24"/>
        </w:rPr>
        <w:t>项目性质：工业遗产改造为复合型文化商业空间（含办公、展览、餐饮、市集等）。</w:t>
      </w:r>
    </w:p>
    <w:p w14:paraId="4DD2450F">
      <w:pPr>
        <w:bidi w:val="0"/>
        <w:rPr>
          <w:sz w:val="24"/>
          <w:szCs w:val="24"/>
        </w:rPr>
      </w:pPr>
      <w:r>
        <w:rPr>
          <w:sz w:val="24"/>
          <w:szCs w:val="24"/>
        </w:rPr>
        <w:t>气候背景：长春属温带大陆性季风气候，年均降雨量约564.1mm，降雨集中在夏季（6-8月），需重点考虑暴雨径流控制与冬季防冻。</w:t>
      </w:r>
    </w:p>
    <w:p w14:paraId="136092B2">
      <w:pPr>
        <w:bidi w:val="0"/>
        <w:rPr>
          <w:sz w:val="24"/>
          <w:szCs w:val="24"/>
        </w:rPr>
      </w:pPr>
      <w:r>
        <w:rPr>
          <w:sz w:val="24"/>
          <w:szCs w:val="24"/>
        </w:rPr>
        <w:t>设计目标：年径流总量控制率：≥70%（对应设计降雨量约28mm）</w:t>
      </w:r>
      <w:r>
        <w:rPr>
          <w:rFonts w:hint="eastAsia"/>
          <w:sz w:val="24"/>
          <w:szCs w:val="24"/>
          <w:lang w:eastAsia="zh-CN"/>
        </w:rPr>
        <w:t>；</w:t>
      </w:r>
      <w:r>
        <w:rPr>
          <w:sz w:val="24"/>
          <w:szCs w:val="24"/>
        </w:rPr>
        <w:t>面源污染削减率：≥50%</w:t>
      </w:r>
      <w:r>
        <w:rPr>
          <w:rFonts w:hint="eastAsia"/>
          <w:sz w:val="24"/>
          <w:szCs w:val="24"/>
          <w:lang w:eastAsia="zh-CN"/>
        </w:rPr>
        <w:t>；</w:t>
      </w:r>
      <w:r>
        <w:rPr>
          <w:sz w:val="24"/>
          <w:szCs w:val="24"/>
        </w:rPr>
        <w:t>雨水资源化利用率：≥10%（用于绿化灌溉、道路冲洗）</w:t>
      </w:r>
      <w:r>
        <w:rPr>
          <w:rFonts w:hint="eastAsia"/>
          <w:sz w:val="24"/>
          <w:szCs w:val="24"/>
          <w:lang w:eastAsia="zh-CN"/>
        </w:rPr>
        <w:t>。</w:t>
      </w:r>
    </w:p>
    <w:p w14:paraId="0587E3D1">
      <w:pPr>
        <w:bidi w:val="0"/>
        <w:rPr>
          <w:b/>
          <w:bCs/>
          <w:sz w:val="24"/>
          <w:szCs w:val="24"/>
        </w:rPr>
      </w:pPr>
      <w:r>
        <w:rPr>
          <w:rFonts w:hint="default"/>
          <w:b/>
          <w:bCs/>
          <w:sz w:val="24"/>
          <w:szCs w:val="24"/>
        </w:rPr>
        <w:t>2. 总体技术路线</w:t>
      </w:r>
    </w:p>
    <w:p w14:paraId="23FAB142">
      <w:pPr>
        <w:bidi w:val="0"/>
        <w:ind w:firstLine="480" w:firstLineChars="200"/>
        <w:rPr>
          <w:rFonts w:hint="eastAsia" w:ascii="黑体" w:hAnsi="黑体" w:eastAsia="黑体" w:cs="黑体"/>
          <w:sz w:val="21"/>
          <w:szCs w:val="21"/>
          <w:lang w:val="en-US" w:eastAsia="zh-CN"/>
        </w:rPr>
      </w:pPr>
      <w:r>
        <w:rPr>
          <w:rFonts w:hint="default"/>
          <w:sz w:val="24"/>
          <w:szCs w:val="24"/>
          <w:lang w:val="en-US" w:eastAsia="zh-CN"/>
        </w:rPr>
        <w:t>规划遵循“渗、滞、蓄、净、用、排”的低影响开发理念，构建从源头减量到末端调蓄的三级雨水管理体系。在源头环节，通过绿色屋顶与透水铺装减少径流产生；在过程控制环节，利用植草沟、下凹式绿地及雨水花园对径流进行滞留、渗透与初步净化；在末端环节，依托地下蓄水池与生态湿塘进行雨水的深度调蓄与资源化利用，超标雨水则安全排入市政管网，形成完整的生态循环闭环。</w:t>
      </w:r>
    </w:p>
    <w:p w14:paraId="48F22F3A">
      <w:pPr>
        <w:bidi w:val="0"/>
        <w:rPr>
          <w:rFonts w:hint="default"/>
          <w:b/>
          <w:bCs/>
          <w:sz w:val="24"/>
          <w:szCs w:val="24"/>
        </w:rPr>
      </w:pPr>
      <w:r>
        <w:rPr>
          <w:rFonts w:hint="default"/>
          <w:b/>
          <w:bCs/>
          <w:sz w:val="24"/>
          <w:szCs w:val="24"/>
        </w:rPr>
        <w:t>3. 分区设施布局规划</w:t>
      </w:r>
    </w:p>
    <w:p w14:paraId="45998775">
      <w:pPr>
        <w:bidi w:val="0"/>
        <w:ind w:firstLine="480" w:firstLineChars="200"/>
        <w:rPr>
          <w:rFonts w:hint="default"/>
          <w:sz w:val="24"/>
          <w:szCs w:val="24"/>
          <w:lang w:val="en-US" w:eastAsia="zh-CN"/>
        </w:rPr>
      </w:pPr>
      <w:r>
        <w:rPr>
          <w:rFonts w:hint="default"/>
          <w:sz w:val="24"/>
          <w:szCs w:val="24"/>
          <w:lang w:val="en-US" w:eastAsia="zh-CN"/>
        </w:rPr>
        <w:t>针对场地不同功能区的特征，实施差异化的设施布局策略。</w:t>
      </w:r>
    </w:p>
    <w:p w14:paraId="48E11F72">
      <w:pPr>
        <w:bidi w:val="0"/>
        <w:ind w:firstLine="480" w:firstLineChars="200"/>
        <w:rPr>
          <w:rFonts w:hint="default"/>
          <w:sz w:val="24"/>
          <w:szCs w:val="24"/>
          <w:lang w:val="en-US" w:eastAsia="zh-CN"/>
        </w:rPr>
      </w:pPr>
      <w:r>
        <w:rPr>
          <w:rFonts w:hint="default"/>
          <w:sz w:val="24"/>
          <w:szCs w:val="24"/>
          <w:lang w:val="en-US" w:eastAsia="zh-CN"/>
        </w:rPr>
        <w:t>在中部核心公共活动区，包括入口门厅、多功能厅及季节市集周边，将大面积硬质铺装替换为多孔沥青或透水混凝土，并利用现状大树设置连通式树池雨水花园，配合带有截污功能的线性排水沟，高效消纳人流密集区的地表径流。</w:t>
      </w:r>
    </w:p>
    <w:p w14:paraId="239659F2">
      <w:pPr>
        <w:bidi w:val="0"/>
        <w:ind w:firstLine="480" w:firstLineChars="200"/>
        <w:rPr>
          <w:rFonts w:hint="default"/>
          <w:sz w:val="24"/>
          <w:szCs w:val="24"/>
          <w:lang w:val="en-US" w:eastAsia="zh-CN"/>
        </w:rPr>
      </w:pPr>
      <w:r>
        <w:rPr>
          <w:rFonts w:hint="default"/>
          <w:sz w:val="24"/>
          <w:szCs w:val="24"/>
          <w:lang w:val="en-US" w:eastAsia="zh-CN"/>
        </w:rPr>
        <w:t>在建筑屋面雨水收集区，特别是鱼菜共生展厅、温室餐厅等大跨度厂房区域，将落水管断接引流至周边的下凹式绿地或雨水花箱，并在进入蓄水池前设置初期弃流装置以去除屋面灰尘污染物。</w:t>
      </w:r>
    </w:p>
    <w:p w14:paraId="71642F92">
      <w:pPr>
        <w:bidi w:val="0"/>
        <w:ind w:firstLine="480" w:firstLineChars="200"/>
        <w:rPr>
          <w:rFonts w:hint="default"/>
          <w:sz w:val="24"/>
          <w:szCs w:val="24"/>
          <w:lang w:val="en-US" w:eastAsia="zh-CN"/>
        </w:rPr>
      </w:pPr>
      <w:r>
        <w:rPr>
          <w:rFonts w:hint="default"/>
          <w:sz w:val="24"/>
          <w:szCs w:val="24"/>
          <w:lang w:val="en-US" w:eastAsia="zh-CN"/>
        </w:rPr>
        <w:t>在景观生态缓冲区，利用北侧水体及东侧绿地构建植被浅沟替代传统混凝土沟渠，特别是在后勤入口与卸货区周边，引导雨水汇入北侧雨水湿地，使其成为场地的终极调蓄与净化场所。</w:t>
      </w:r>
    </w:p>
    <w:p w14:paraId="736C0BFB">
      <w:pPr>
        <w:bidi w:val="0"/>
        <w:jc w:val="center"/>
        <w:rPr>
          <w:rFonts w:hint="default" w:ascii="黑体" w:hAnsi="黑体" w:eastAsia="黑体" w:cs="黑体"/>
          <w:sz w:val="21"/>
          <w:szCs w:val="21"/>
          <w:lang w:val="en-US" w:eastAsia="zh-CN"/>
        </w:rPr>
      </w:pPr>
      <w:r>
        <w:rPr>
          <w:rFonts w:hint="default" w:ascii="黑体" w:hAnsi="黑体" w:eastAsia="黑体" w:cs="黑体"/>
          <w:sz w:val="21"/>
          <w:szCs w:val="21"/>
          <w:lang w:val="en-US" w:eastAsia="zh-CN"/>
        </w:rPr>
        <w:drawing>
          <wp:anchor distT="0" distB="0" distL="114300" distR="114300" simplePos="0" relativeHeight="251660288" behindDoc="0" locked="0" layoutInCell="1" allowOverlap="1">
            <wp:simplePos x="0" y="0"/>
            <wp:positionH relativeFrom="column">
              <wp:posOffset>299085</wp:posOffset>
            </wp:positionH>
            <wp:positionV relativeFrom="paragraph">
              <wp:posOffset>84455</wp:posOffset>
            </wp:positionV>
            <wp:extent cx="4707255" cy="3445510"/>
            <wp:effectExtent l="0" t="0" r="1905" b="13970"/>
            <wp:wrapTopAndBottom/>
            <wp:docPr id="2" name="图片 2" descr="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分区"/>
                    <pic:cNvPicPr>
                      <a:picLocks noChangeAspect="1"/>
                    </pic:cNvPicPr>
                  </pic:nvPicPr>
                  <pic:blipFill>
                    <a:blip r:embed="rId4"/>
                    <a:srcRect t="3246" b="2415"/>
                    <a:stretch>
                      <a:fillRect/>
                    </a:stretch>
                  </pic:blipFill>
                  <pic:spPr>
                    <a:xfrm>
                      <a:off x="0" y="0"/>
                      <a:ext cx="4707255" cy="3445510"/>
                    </a:xfrm>
                    <a:prstGeom prst="rect">
                      <a:avLst/>
                    </a:prstGeom>
                  </pic:spPr>
                </pic:pic>
              </a:graphicData>
            </a:graphic>
          </wp:anchor>
        </w:drawing>
      </w:r>
      <w:r>
        <w:rPr>
          <w:rFonts w:hint="eastAsia" w:ascii="黑体" w:hAnsi="黑体" w:eastAsia="黑体" w:cs="黑体"/>
          <w:sz w:val="21"/>
          <w:szCs w:val="21"/>
          <w:lang w:val="en-US" w:eastAsia="zh-CN"/>
        </w:rPr>
        <w:t>场地分区布局</w:t>
      </w:r>
    </w:p>
    <w:p w14:paraId="72D5A22C">
      <w:pPr>
        <w:bidi w:val="0"/>
        <w:rPr>
          <w:rFonts w:hint="default"/>
          <w:b/>
          <w:bCs/>
          <w:sz w:val="24"/>
          <w:szCs w:val="24"/>
        </w:rPr>
      </w:pPr>
      <w:r>
        <w:rPr>
          <w:rFonts w:hint="default"/>
          <w:b/>
          <w:bCs/>
          <w:sz w:val="24"/>
          <w:szCs w:val="24"/>
        </w:rPr>
        <w:t>4. 雨水收集与回用系统设计</w:t>
      </w:r>
    </w:p>
    <w:p w14:paraId="3AE2F163">
      <w:pPr>
        <w:bidi w:val="0"/>
        <w:ind w:firstLine="480" w:firstLineChars="200"/>
        <w:rPr>
          <w:rFonts w:hint="default"/>
          <w:sz w:val="24"/>
          <w:szCs w:val="24"/>
          <w:lang w:val="en-US" w:eastAsia="zh-CN"/>
        </w:rPr>
      </w:pPr>
      <w:r>
        <w:rPr>
          <w:rFonts w:hint="default"/>
          <w:sz w:val="24"/>
          <w:szCs w:val="24"/>
          <w:lang w:val="en-US" w:eastAsia="zh-CN"/>
        </w:rPr>
        <w:t>系统重点收集屋面洁净雨水及广场透水铺装下渗雨水，经过初期弃流、格栅过滤后存入地埋式蓄水池，建议蓄水池选址于多功能厅或儿童阅览区附近的地下空间以节约地面景观用地。储存雨水经石英砂过滤与消毒处理后，优先用于鱼菜共生展厅及周边绿地的灌溉，其次用于季节市集广场的地面清洁，枯水期还可作为北侧水体的景观补水水源，从而实现水资源的高效循环利用。</w:t>
      </w:r>
    </w:p>
    <w:p w14:paraId="6214C838">
      <w:pPr>
        <w:bidi w:val="0"/>
        <w:jc w:val="center"/>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drawing>
          <wp:anchor distT="0" distB="0" distL="114300" distR="114300" simplePos="0" relativeHeight="251659264" behindDoc="0" locked="0" layoutInCell="1" allowOverlap="1">
            <wp:simplePos x="0" y="0"/>
            <wp:positionH relativeFrom="column">
              <wp:posOffset>93345</wp:posOffset>
            </wp:positionH>
            <wp:positionV relativeFrom="paragraph">
              <wp:posOffset>86360</wp:posOffset>
            </wp:positionV>
            <wp:extent cx="5100320" cy="2529840"/>
            <wp:effectExtent l="0" t="0" r="5080" b="0"/>
            <wp:wrapSquare wrapText="bothSides"/>
            <wp:docPr id="1" name="图片 1" descr="水资源循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资源循环"/>
                    <pic:cNvPicPr>
                      <a:picLocks noChangeAspect="1"/>
                    </pic:cNvPicPr>
                  </pic:nvPicPr>
                  <pic:blipFill>
                    <a:blip r:embed="rId5"/>
                    <a:stretch>
                      <a:fillRect/>
                    </a:stretch>
                  </pic:blipFill>
                  <pic:spPr>
                    <a:xfrm>
                      <a:off x="0" y="0"/>
                      <a:ext cx="5100320" cy="2529840"/>
                    </a:xfrm>
                    <a:prstGeom prst="rect">
                      <a:avLst/>
                    </a:prstGeom>
                  </pic:spPr>
                </pic:pic>
              </a:graphicData>
            </a:graphic>
          </wp:anchor>
        </w:drawing>
      </w:r>
      <w:r>
        <w:rPr>
          <w:rFonts w:hint="eastAsia" w:ascii="黑体" w:hAnsi="黑体" w:eastAsia="黑体" w:cs="黑体"/>
          <w:sz w:val="21"/>
          <w:szCs w:val="21"/>
          <w:lang w:val="en-US" w:eastAsia="zh-CN"/>
        </w:rPr>
        <w:t>水回收利用系统</w:t>
      </w:r>
    </w:p>
    <w:p w14:paraId="0DE74280">
      <w:pPr>
        <w:bidi w:val="0"/>
        <w:rPr>
          <w:rFonts w:hint="default"/>
          <w:b/>
          <w:bCs/>
          <w:sz w:val="24"/>
          <w:szCs w:val="24"/>
        </w:rPr>
      </w:pPr>
      <w:r>
        <w:rPr>
          <w:rFonts w:hint="default"/>
          <w:b/>
          <w:bCs/>
          <w:sz w:val="24"/>
          <w:szCs w:val="24"/>
        </w:rPr>
        <w:t>5. 竖向设计与溢流排放</w:t>
      </w:r>
    </w:p>
    <w:p w14:paraId="13F0DC10">
      <w:pPr>
        <w:bidi w:val="0"/>
        <w:ind w:firstLine="480" w:firstLineChars="200"/>
        <w:rPr>
          <w:rFonts w:hint="default"/>
          <w:sz w:val="24"/>
          <w:szCs w:val="24"/>
        </w:rPr>
      </w:pPr>
      <w:r>
        <w:rPr>
          <w:rFonts w:hint="default"/>
          <w:sz w:val="24"/>
          <w:szCs w:val="24"/>
          <w:lang w:val="en-US" w:eastAsia="zh-CN"/>
        </w:rPr>
        <w:t>场地竖向设计严格遵循“绿地标高低于道路标高，道路标高低于建筑室内标高”的原则，确保雨水能依靠重力自然流入下凹绿地与植草沟。当遭遇超过设计标准的暴雨时，系统通过预设的紧急溢流口将多余雨水排入市政雨水管网，最终汇入城市河道，并设置防倒灌措施保护建筑地下室安全，确保场地在极端天气下的防涝能力。</w:t>
      </w:r>
    </w:p>
    <w:p w14:paraId="2916CF2E">
      <w:pPr>
        <w:bidi w:val="0"/>
        <w:rPr>
          <w:rFonts w:hint="default"/>
          <w:b/>
          <w:bCs/>
          <w:sz w:val="24"/>
          <w:szCs w:val="24"/>
        </w:rPr>
      </w:pPr>
      <w:r>
        <w:rPr>
          <w:rFonts w:hint="default"/>
          <w:b/>
          <w:bCs/>
          <w:sz w:val="24"/>
          <w:szCs w:val="24"/>
        </w:rPr>
        <w:t>6. 植物配置</w:t>
      </w:r>
    </w:p>
    <w:p w14:paraId="3CA5F947">
      <w:pPr>
        <w:bidi w:val="0"/>
        <w:ind w:firstLine="480" w:firstLineChars="200"/>
        <w:rPr>
          <w:rFonts w:hint="default"/>
          <w:sz w:val="24"/>
          <w:szCs w:val="24"/>
        </w:rPr>
      </w:pPr>
      <w:bookmarkStart w:id="0" w:name="_GoBack"/>
      <w:bookmarkEnd w:id="0"/>
      <w:r>
        <w:rPr>
          <w:rFonts w:hint="default"/>
          <w:sz w:val="24"/>
          <w:szCs w:val="24"/>
          <w:lang w:val="en-US" w:eastAsia="zh-CN"/>
        </w:rPr>
        <w:t>植物选型充分考虑长春地区的气候特征，优先选用耐淹、耐旱且耐寒的乡土品种。在雨水花园与下凹式绿地中配置千屈菜、鸢尾、玉簪等宿根花卉；植草沟内种植高羊茅、结缕草等根系发达的草本植物；湿地边缘则布置芦苇、香蒲等水生植物，既保证净化效果又兼顾冬季景观与防寒需求。</w:t>
      </w:r>
    </w:p>
    <w:p w14:paraId="65676BEA">
      <w:pPr>
        <w:bidi w:val="0"/>
        <w:rPr>
          <w:rFonts w:hint="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5B54E4"/>
    <w:rsid w:val="475B5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TML Code"/>
    <w:basedOn w:val="8"/>
    <w:uiPriority w:val="0"/>
    <w:rPr>
      <w:rFonts w:ascii="Courier New" w:hAnsi="Courier New"/>
      <w:sz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49</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2026-03-24T10:11:00Z</dcterms:created>
  <dc:creator>姆明谦米   o  o</dc:creator>
  <cp:lastModifiedBy>姆明谦米   o  o</cp:lastModifiedBy>
  <dcterms:modified xsi:type="dcterms:W3CDTF">2026-03-24T11:00:59Z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B4DBF55EBACA4DF18D92C20FFB215F0B_11</vt:lpwstr>
  </property>
  <property fmtid="{D5CDD505-2E9C-101B-9397-08002B2CF9AE}" pid="4" name="KSOTemplateDocerSaveRecord">
    <vt:lpwstr>eyJoZGlkIjoiNmUxYzI3MGQ0YTIyNTgyNzAyZGI2MGEzMWEzMzRiNzkiLCJ1c2VySWQiOiI2ODkyNjA5MjAifQ==</vt:lpwstr>
  </property>
</Properties>
</file>