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89849">
      <w:pPr>
        <w:jc w:val="center"/>
        <w:rPr>
          <w:rFonts w:hint="eastAsia" w:ascii="宋体" w:hAnsi="宋体" w:eastAsia="宋体" w:cs="宋体"/>
          <w:i w:val="0"/>
          <w:iCs w:val="0"/>
          <w:caps w:val="0"/>
          <w:color w:val="000000"/>
          <w:spacing w:val="0"/>
          <w:sz w:val="16"/>
          <w:szCs w:val="16"/>
        </w:rPr>
      </w:pPr>
      <w:bookmarkStart w:id="0" w:name="_GoBack"/>
      <w:bookmarkEnd w:id="0"/>
      <w:r>
        <w:rPr>
          <w:rFonts w:hint="eastAsia" w:ascii="黑体" w:hAnsi="黑体" w:eastAsia="黑体" w:cs="黑体"/>
          <w:i w:val="0"/>
          <w:iCs w:val="0"/>
          <w:caps w:val="0"/>
          <w:color w:val="000000"/>
          <w:spacing w:val="0"/>
          <w:sz w:val="28"/>
          <w:szCs w:val="28"/>
        </w:rPr>
        <w:t>长春拖拉机厂旧址</w:t>
      </w:r>
      <w:r>
        <w:rPr>
          <w:rFonts w:hint="eastAsia" w:ascii="黑体" w:hAnsi="黑体" w:eastAsia="黑体" w:cs="黑体"/>
          <w:i w:val="0"/>
          <w:iCs w:val="0"/>
          <w:caps w:val="0"/>
          <w:color w:val="000000"/>
          <w:spacing w:val="0"/>
          <w:sz w:val="28"/>
          <w:szCs w:val="28"/>
          <w:lang w:val="en-US" w:eastAsia="zh-CN"/>
        </w:rPr>
        <w:t>5号</w:t>
      </w:r>
      <w:r>
        <w:rPr>
          <w:rFonts w:hint="eastAsia" w:ascii="黑体" w:hAnsi="黑体" w:eastAsia="黑体" w:cs="黑体"/>
          <w:i w:val="0"/>
          <w:iCs w:val="0"/>
          <w:caps w:val="0"/>
          <w:color w:val="000000"/>
          <w:spacing w:val="0"/>
          <w:sz w:val="28"/>
          <w:szCs w:val="28"/>
        </w:rPr>
        <w:t>工业建筑改造项目工程质量保险投保计划</w:t>
      </w:r>
    </w:p>
    <w:p w14:paraId="7C9ED38B">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本投保计划针对长春拖拉机厂旧址</w:t>
      </w:r>
      <w:r>
        <w:rPr>
          <w:rFonts w:hint="eastAsia" w:asciiTheme="minorEastAsia" w:hAnsiTheme="minorEastAsia" w:cstheme="minorEastAsia"/>
          <w:i w:val="0"/>
          <w:iCs w:val="0"/>
          <w:caps w:val="0"/>
          <w:color w:val="000000"/>
          <w:spacing w:val="0"/>
          <w:sz w:val="21"/>
          <w:szCs w:val="21"/>
          <w:lang w:val="en-US" w:eastAsia="zh-CN"/>
        </w:rPr>
        <w:t>5号</w:t>
      </w:r>
      <w:r>
        <w:rPr>
          <w:rFonts w:hint="eastAsia" w:asciiTheme="minorEastAsia" w:hAnsiTheme="minorEastAsia" w:eastAsiaTheme="minorEastAsia" w:cstheme="minorEastAsia"/>
          <w:i w:val="0"/>
          <w:iCs w:val="0"/>
          <w:caps w:val="0"/>
          <w:color w:val="000000"/>
          <w:spacing w:val="0"/>
          <w:sz w:val="21"/>
          <w:szCs w:val="21"/>
        </w:rPr>
        <w:t>工业建筑改造项目量身定制，旨在通过合理的保险安排，全面覆盖地基基础、主体结构、防水工程等核心工程以及装惨、电气。上下水、供热供冷系统等安装工程的质量风险。项目总用地43802平方米，总建筑面积27783平方米，投保方案充分考虑工业建筑改造的特殊性，结合吉林管最新工程质量保险政策要求，提出保险范围、期限、保费计算、共保模式选择、风险管理流程及理赔服务方案，为项目质量管控提供全方位保障。</w:t>
      </w:r>
    </w:p>
    <w:p w14:paraId="49CC3A54">
      <w:pP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sz w:val="22"/>
          <w:szCs w:val="22"/>
        </w:rPr>
        <w:t>一、项目概况与保险需求分析</w:t>
      </w:r>
    </w:p>
    <w:p w14:paraId="62696C43">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1.项目基本信息</w:t>
      </w:r>
    </w:p>
    <w:p w14:paraId="25D329D1">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项目名称:长春拖拉机厂日址工业建筑改造项目</w:t>
      </w:r>
    </w:p>
    <w:p w14:paraId="7477FBB3">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项目类型:工业建筑改造(旧厂房改造)</w:t>
      </w:r>
    </w:p>
    <w:p w14:paraId="297A8441">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项目规模:总用地43802</w:t>
      </w:r>
      <w:r>
        <w:rPr>
          <w:rFonts w:hint="eastAsia" w:asciiTheme="minorEastAsia" w:hAnsiTheme="minorEastAsia" w:cstheme="minorEastAsia"/>
          <w:i w:val="0"/>
          <w:iCs w:val="0"/>
          <w:caps w:val="0"/>
          <w:color w:val="000000"/>
          <w:spacing w:val="0"/>
          <w:sz w:val="21"/>
          <w:szCs w:val="21"/>
          <w:lang w:val="en-US" w:eastAsia="zh-CN"/>
        </w:rPr>
        <w:t>m</w:t>
      </w:r>
      <w:r>
        <w:rPr>
          <w:rFonts w:hint="eastAsia" w:asciiTheme="minorEastAsia" w:hAnsiTheme="minorEastAsia" w:cstheme="minorEastAsia"/>
          <w:i w:val="0"/>
          <w:iCs w:val="0"/>
          <w:caps w:val="0"/>
          <w:color w:val="000000"/>
          <w:spacing w:val="0"/>
          <w:sz w:val="21"/>
          <w:szCs w:val="21"/>
          <w:vertAlign w:val="superscript"/>
          <w:lang w:val="en-US" w:eastAsia="zh-CN"/>
        </w:rPr>
        <w:t>2</w:t>
      </w:r>
      <w:r>
        <w:rPr>
          <w:rFonts w:hint="eastAsia" w:asciiTheme="minorEastAsia" w:hAnsiTheme="minorEastAsia" w:eastAsiaTheme="minorEastAsia" w:cstheme="minorEastAsia"/>
          <w:i w:val="0"/>
          <w:iCs w:val="0"/>
          <w:caps w:val="0"/>
          <w:color w:val="000000"/>
          <w:spacing w:val="0"/>
          <w:sz w:val="21"/>
          <w:szCs w:val="21"/>
        </w:rPr>
        <w:t>，总建筑面积27783</w:t>
      </w:r>
      <w:r>
        <w:rPr>
          <w:rFonts w:hint="eastAsia" w:asciiTheme="minorEastAsia" w:hAnsiTheme="minorEastAsia" w:cstheme="minorEastAsia"/>
          <w:i w:val="0"/>
          <w:iCs w:val="0"/>
          <w:caps w:val="0"/>
          <w:color w:val="000000"/>
          <w:spacing w:val="0"/>
          <w:sz w:val="21"/>
          <w:szCs w:val="21"/>
          <w:lang w:val="en-US" w:eastAsia="zh-CN"/>
        </w:rPr>
        <w:t>m</w:t>
      </w:r>
      <w:r>
        <w:rPr>
          <w:rFonts w:hint="eastAsia" w:asciiTheme="minorEastAsia" w:hAnsiTheme="minorEastAsia" w:cstheme="minorEastAsia"/>
          <w:i w:val="0"/>
          <w:iCs w:val="0"/>
          <w:caps w:val="0"/>
          <w:color w:val="000000"/>
          <w:spacing w:val="0"/>
          <w:sz w:val="21"/>
          <w:szCs w:val="21"/>
          <w:vertAlign w:val="superscript"/>
          <w:lang w:val="en-US" w:eastAsia="zh-CN"/>
        </w:rPr>
        <w:t>2</w:t>
      </w:r>
    </w:p>
    <w:p w14:paraId="20CDF0C2">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改造内容:地基基础工程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主体结构工程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屋面防水工程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其他土建工程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装修工程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电气管线安装工程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上下水管线安装工程</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供热供冷系统工程</w:t>
      </w:r>
      <w:r>
        <w:rPr>
          <w:rFonts w:hint="eastAsia" w:asciiTheme="minorEastAsia" w:hAnsiTheme="minorEastAsia" w:cstheme="minorEastAsia"/>
          <w:i w:val="0"/>
          <w:iCs w:val="0"/>
          <w:caps w:val="0"/>
          <w:color w:val="000000"/>
          <w:spacing w:val="0"/>
          <w:sz w:val="21"/>
          <w:szCs w:val="21"/>
          <w:lang w:eastAsia="zh-CN"/>
        </w:rPr>
        <w:t>。</w:t>
      </w:r>
    </w:p>
    <w:p w14:paraId="2EB5B9F7">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2.保险需求分析</w:t>
      </w:r>
    </w:p>
    <w:p w14:paraId="31336235">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既有建筑原结构可能存在老化、损伤等问题，需加强风险管控多系统整合:涉及土建、装修、电气、给排水、供热供冷等多个专业系统</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旧厂房改造后使用功能变化可能带来新的质量隐患</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需覆盖用户指定的所有工程质量问题，包括地基基础、主体结构、防水工程及其他土建工程，以及装修工程，电气答线，上下水管线和供热供冷系统长期保障</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针对工业建筑特性，需延长部分工程的保险责任期，提供更长的保障周期风险管理前置</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需保险公司委托第三方风险管理机构全程参与施工过程，实现事前预防便捷理赔服务</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需建立高效的理赔响应机制，确保质量问题能够及时得到维修处理</w:t>
      </w:r>
      <w:r>
        <w:rPr>
          <w:rFonts w:hint="eastAsia" w:asciiTheme="minorEastAsia" w:hAnsiTheme="minorEastAsia" w:cstheme="minorEastAsia"/>
          <w:i w:val="0"/>
          <w:iCs w:val="0"/>
          <w:caps w:val="0"/>
          <w:color w:val="000000"/>
          <w:spacing w:val="0"/>
          <w:sz w:val="21"/>
          <w:szCs w:val="21"/>
          <w:lang w:eastAsia="zh-CN"/>
        </w:rPr>
        <w:t>。</w:t>
      </w:r>
    </w:p>
    <w:p w14:paraId="23C86F63">
      <w:pP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sz w:val="22"/>
          <w:szCs w:val="22"/>
        </w:rPr>
        <w:t>二、保险方案设计</w:t>
      </w:r>
    </w:p>
    <w:p w14:paraId="06644270">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1.保险类型选择</w:t>
      </w:r>
    </w:p>
    <w:p w14:paraId="339F8198">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根据吉林</w:t>
      </w:r>
      <w:r>
        <w:rPr>
          <w:rFonts w:hint="eastAsia" w:asciiTheme="minorEastAsia" w:hAnsiTheme="minorEastAsia" w:cstheme="minorEastAsia"/>
          <w:i w:val="0"/>
          <w:iCs w:val="0"/>
          <w:caps w:val="0"/>
          <w:color w:val="000000"/>
          <w:spacing w:val="0"/>
          <w:sz w:val="21"/>
          <w:szCs w:val="21"/>
          <w:lang w:val="en-US" w:eastAsia="zh-CN"/>
        </w:rPr>
        <w:t>市</w:t>
      </w:r>
      <w:r>
        <w:rPr>
          <w:rFonts w:hint="eastAsia" w:asciiTheme="minorEastAsia" w:hAnsiTheme="minorEastAsia" w:eastAsiaTheme="minorEastAsia" w:cstheme="minorEastAsia"/>
          <w:i w:val="0"/>
          <w:iCs w:val="0"/>
          <w:caps w:val="0"/>
          <w:color w:val="000000"/>
          <w:spacing w:val="0"/>
          <w:sz w:val="21"/>
          <w:szCs w:val="21"/>
        </w:rPr>
        <w:t>2024年发布的《住宅工程质量潜在缺陷保险管理办法》(吉建联发【2024]1号)及附则第二十五条规定，工业建筑改造项目可参照住宅工程投保工程质量潜在缺陷保险(IDI)，但需在合同中扩展承保范围。</w:t>
      </w:r>
    </w:p>
    <w:p w14:paraId="0EF4A844">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保险责任范围:</w:t>
      </w:r>
    </w:p>
    <w:p w14:paraId="5CA27928">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主险:整体或局部倒場</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地基产生不均匀沉降</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基础和主体结构部位出现影响结构安全的裂缝、变形、破损、断裂等</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主体结构承重墙、柱、梁等出现影响结构安全的裂缝、变形、破损、断裂等</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屋面渗漏</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防水层破损、脱落等</w:t>
      </w:r>
    </w:p>
    <w:p w14:paraId="7C0E0086">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附加险:墙面、顶棚抹灰层工程损坏</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装修装饰面层脱落等</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电气网络管线短路、漏电</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电气设备安装故障等</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给排水管线:管道漏水、堵塞;阀门损坏等</w:t>
      </w:r>
      <w:r>
        <w:rPr>
          <w:rFonts w:hint="eastAsia" w:asciiTheme="minorEastAsia" w:hAnsiTheme="minorEastAsia" w:cstheme="minorEastAsia"/>
          <w:i w:val="0"/>
          <w:iCs w:val="0"/>
          <w:caps w:val="0"/>
          <w:color w:val="000000"/>
          <w:spacing w:val="0"/>
          <w:sz w:val="21"/>
          <w:szCs w:val="21"/>
          <w:lang w:eastAsia="zh-CN"/>
        </w:rPr>
        <w:t>。</w:t>
      </w:r>
    </w:p>
    <w:p w14:paraId="11723D47">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供热供冷系统:系统管道渗漏、设备故障;冷热供应不达标等</w:t>
      </w:r>
    </w:p>
    <w:p w14:paraId="44DD62CE">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2.保险期限设计</w:t>
      </w:r>
    </w:p>
    <w:p w14:paraId="4ED26172">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工业建筑改造项目需考虑长期使用需求，建议在吉林省政策基础上适当延长部分工程的保险责任期。</w:t>
      </w:r>
    </w:p>
    <w:p w14:paraId="701F35E8">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保险期限:地基基础工程和主体结构工程:保险责任期为10年(符合吉林省政策最低要求)</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屋面防水工程:保险责任期为5年(符合吉林省政策最低要求)</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装修工程:保险责任期为5年(超出国家标准2年，需协商附加险条款)</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电气管线、给排水管道、设备安装工程:保险责任期为5年(超出国家标准2年，需协商附加险条款)</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供热与供冷系统工程:保险责任期为5年(超出国家标准2年，需协商附加险条款)</w:t>
      </w:r>
      <w:r>
        <w:rPr>
          <w:rFonts w:hint="eastAsia" w:asciiTheme="minorEastAsia" w:hAnsiTheme="minorEastAsia" w:cstheme="minorEastAsia"/>
          <w:i w:val="0"/>
          <w:iCs w:val="0"/>
          <w:caps w:val="0"/>
          <w:color w:val="000000"/>
          <w:spacing w:val="0"/>
          <w:sz w:val="21"/>
          <w:szCs w:val="21"/>
          <w:lang w:eastAsia="zh-CN"/>
        </w:rPr>
        <w:t>。</w:t>
      </w:r>
    </w:p>
    <w:p w14:paraId="334C49A1">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保险期限计算规则:保险责任期自缺陷责任期结束之日起算</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缺陷责任期自工程竣工验收合格之日起算，期限为两年</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保险责任期内，工程质量潜在缺陷由保险公司按照保险合同约定承担维修或赔偿责任</w:t>
      </w:r>
      <w:r>
        <w:rPr>
          <w:rFonts w:hint="eastAsia" w:asciiTheme="minorEastAsia" w:hAnsiTheme="minorEastAsia" w:cstheme="minorEastAsia"/>
          <w:i w:val="0"/>
          <w:iCs w:val="0"/>
          <w:caps w:val="0"/>
          <w:color w:val="000000"/>
          <w:spacing w:val="0"/>
          <w:sz w:val="21"/>
          <w:szCs w:val="21"/>
          <w:lang w:eastAsia="zh-CN"/>
        </w:rPr>
        <w:t>。</w:t>
      </w:r>
    </w:p>
    <w:p w14:paraId="24071853">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3.保费计算与费率确定</w:t>
      </w:r>
    </w:p>
    <w:p w14:paraId="505CDA46">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吉林首工业建筑改造项目投保质量保险的费率基准为3%至6%，需结合项目风险(如地质条件、施工复杂度)调整。保费估算:</w:t>
      </w:r>
    </w:p>
    <w:p w14:paraId="63F16F6A">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假设项目建筑安装总造价为2.7783亿元，按4%基准费率计算:主险保费:27,783,000元x4%=111,132元</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附加险保费:27,783,000元x2%=55,566元</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总保费:约166,698元</w:t>
      </w:r>
      <w:r>
        <w:rPr>
          <w:rFonts w:hint="eastAsia" w:asciiTheme="minorEastAsia" w:hAnsiTheme="minorEastAsia" w:cstheme="minorEastAsia"/>
          <w:i w:val="0"/>
          <w:iCs w:val="0"/>
          <w:caps w:val="0"/>
          <w:color w:val="000000"/>
          <w:spacing w:val="0"/>
          <w:sz w:val="21"/>
          <w:szCs w:val="21"/>
          <w:lang w:eastAsia="zh-CN"/>
        </w:rPr>
        <w:t>。</w:t>
      </w:r>
    </w:p>
    <w:p w14:paraId="39F70EAC">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保费支付方式:建设单位在开工前一次性支付合同约定的保险费</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保费中包含不高于30%的风险管理费用</w:t>
      </w:r>
      <w:r>
        <w:rPr>
          <w:rFonts w:hint="eastAsia" w:asciiTheme="minorEastAsia" w:hAnsiTheme="minorEastAsia" w:cstheme="minorEastAsia"/>
          <w:i w:val="0"/>
          <w:iCs w:val="0"/>
          <w:caps w:val="0"/>
          <w:color w:val="000000"/>
          <w:spacing w:val="0"/>
          <w:sz w:val="21"/>
          <w:szCs w:val="21"/>
          <w:lang w:eastAsia="zh-CN"/>
        </w:rPr>
        <w:t>。</w:t>
      </w:r>
    </w:p>
    <w:p w14:paraId="50B17B2F">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4.共保模式选择</w:t>
      </w:r>
    </w:p>
    <w:p w14:paraId="11A12D61">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吉林省支持共保模式(由首席保险公司和至少三家成员保险公司组成)，统一保险条款、统一保险费率，统一理赔服务、统一分配份额。</w:t>
      </w:r>
    </w:p>
    <w:p w14:paraId="5B21F203">
      <w:pP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sz w:val="22"/>
          <w:szCs w:val="22"/>
        </w:rPr>
        <w:t>三、第三方风险管理流程设计</w:t>
      </w:r>
    </w:p>
    <w:p w14:paraId="2BB733C4">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吉林省政策要求保险公司委托独立第三方风险管理机构对工程实施全过程风险管控，该机构独立于参建各方，直接对保险公司负责</w:t>
      </w:r>
      <w:r>
        <w:rPr>
          <w:rFonts w:hint="eastAsia" w:asciiTheme="minorEastAsia" w:hAnsiTheme="minorEastAsia" w:cstheme="minorEastAsia"/>
          <w:i w:val="0"/>
          <w:iCs w:val="0"/>
          <w:caps w:val="0"/>
          <w:color w:val="000000"/>
          <w:spacing w:val="0"/>
          <w:sz w:val="21"/>
          <w:szCs w:val="21"/>
          <w:lang w:eastAsia="zh-CN"/>
        </w:rPr>
        <w:t>。</w:t>
      </w:r>
    </w:p>
    <w:p w14:paraId="13905131">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资质要求:具备房屋建筑工程监理甲级资质</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具备工业建筑改造专项检测能力</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具备CMA(中国计量认证)资质</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具备钢结构检测能力</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独立于参建各方，无利益关联</w:t>
      </w:r>
      <w:r>
        <w:rPr>
          <w:rFonts w:hint="eastAsia" w:asciiTheme="minorEastAsia" w:hAnsiTheme="minorEastAsia" w:cstheme="minorEastAsia"/>
          <w:i w:val="0"/>
          <w:iCs w:val="0"/>
          <w:caps w:val="0"/>
          <w:color w:val="000000"/>
          <w:spacing w:val="0"/>
          <w:sz w:val="21"/>
          <w:szCs w:val="21"/>
          <w:lang w:eastAsia="zh-CN"/>
        </w:rPr>
        <w:t>。</w:t>
      </w:r>
    </w:p>
    <w:p w14:paraId="13070560">
      <w:pP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sz w:val="22"/>
          <w:szCs w:val="22"/>
        </w:rPr>
        <w:t>四、理赔服务方案</w:t>
      </w:r>
    </w:p>
    <w:p w14:paraId="066A2C7A">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1.报修渠道</w:t>
      </w:r>
    </w:p>
    <w:p w14:paraId="7C360529">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线上渠道:</w:t>
      </w:r>
    </w:p>
    <w:p w14:paraId="1AD1CE74">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保险公司APP/小程序报修(需上传质量问题照片、视频等证据)</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"智慧工地"平台报修(与保险公司系统对接，实现数据共享)</w:t>
      </w:r>
    </w:p>
    <w:p w14:paraId="4C5344FE">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线下渠道:</w:t>
      </w:r>
    </w:p>
    <w:p w14:paraId="7E44CE47">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拨打24小时专线服务电话(如人保95511)</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联系项目服务中心现场报修</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通过《工程质量潜在缺陷保险告知书》提供的保险公司联系人报修</w:t>
      </w:r>
    </w:p>
    <w:p w14:paraId="78CD6427">
      <w:pPr>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2.响应时间与维修标准</w:t>
      </w:r>
    </w:p>
    <w:p w14:paraId="47619C8F">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响应时间分级:</w:t>
      </w:r>
    </w:p>
    <w:p w14:paraId="50F9556C">
      <w:pPr>
        <w:ind w:firstLine="420" w:firstLineChars="20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紧急案件(如结构裂缝扩展、管线爆裂、大面积渗漏等):2小时内电话响应</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4小时内现场勘查</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24小时内启动维修</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普通案件(如局部渗漏、墙面开裂、小范围装修脱落等):24小时内电话响应</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48小时内现场勘查</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72小时内出具维修方案</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小额案件(如阀门漏水、开关故障等):12小时内电话响应</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24小时内现场勘查</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48小时内完成维修</w:t>
      </w:r>
    </w:p>
    <w:p w14:paraId="39008C10">
      <w:pPr>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维修标准:</w:t>
      </w:r>
    </w:p>
    <w:p w14:paraId="5EE79565">
      <w:pPr>
        <w:ind w:firstLine="420" w:firstLineChars="20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地基基础/主体结构:按《混凝土结构工程施工质量验收规范》(GB50204)修复，需第三方检测机构复验合格</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防水工程:修复后需通过闭水试验48小时无渗漏，材料符合设计规范</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电气管线:修复后需通过绝缘电阻测试≥0.5MO，接地电阻≤40</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给排水管线:修复后需通过压力试验0.6-1.0MPa无渗漏</w:t>
      </w:r>
      <w:r>
        <w:rPr>
          <w:rFonts w:hint="eastAsia" w:asciiTheme="minorEastAsia" w:hAnsi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供热供冷系统:修复后需通过水压试验1.5倍工作压力(不低于0.6MPa)连续2小时无压降</w:t>
      </w:r>
      <w:r>
        <w:rPr>
          <w:rFonts w:hint="eastAsia" w:asciiTheme="minorEastAsia" w:hAnsiTheme="minorEastAsia" w:cstheme="minorEastAsia"/>
          <w:i w:val="0"/>
          <w:iCs w:val="0"/>
          <w:caps w:val="0"/>
          <w:color w:val="000000"/>
          <w:spacing w:val="0"/>
          <w:sz w:val="21"/>
          <w:szCs w:val="21"/>
          <w:lang w:eastAsia="zh-CN"/>
        </w:rPr>
        <w:t>。</w:t>
      </w:r>
    </w:p>
    <w:p w14:paraId="2DE2B6E3">
      <w:pPr>
        <w:numPr>
          <w:ilvl w:val="0"/>
          <w:numId w:val="1"/>
        </w:numP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sz w:val="22"/>
          <w:szCs w:val="22"/>
        </w:rPr>
        <w:t>保险方案优势</w:t>
      </w:r>
    </w:p>
    <w:p w14:paraId="6AF73875">
      <w:pPr>
        <w:numPr>
          <w:numId w:val="0"/>
        </w:num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风险全面覆盖:通过主险+附加险模式，覆盖用户需求的所有工程质量问题</w:t>
      </w:r>
      <w:r>
        <w:rPr>
          <w:rFonts w:hint="eastAsia" w:asciiTheme="minorEastAsia" w:hAnsiTheme="minorEastAsia" w:cstheme="minorEastAsia"/>
          <w:i w:val="0"/>
          <w:iCs w:val="0"/>
          <w:caps w:val="0"/>
          <w:color w:val="000000"/>
          <w:spacing w:val="0"/>
          <w:sz w:val="21"/>
          <w:szCs w:val="21"/>
          <w:lang w:eastAsia="zh-CN"/>
        </w:rPr>
        <w:t>。</w:t>
      </w:r>
    </w:p>
    <w:p w14:paraId="558D4AA0">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保障期限延长:将装修、电气管线、上下水、供热供冷系统等附加险保险责任期延长至5年，优于国家标准2年</w:t>
      </w:r>
      <w:r>
        <w:rPr>
          <w:rFonts w:hint="eastAsia" w:asciiTheme="minorEastAsia" w:hAnsiTheme="minorEastAsia" w:cstheme="minorEastAsia"/>
          <w:i w:val="0"/>
          <w:iCs w:val="0"/>
          <w:caps w:val="0"/>
          <w:color w:val="000000"/>
          <w:spacing w:val="0"/>
          <w:sz w:val="21"/>
          <w:szCs w:val="21"/>
          <w:lang w:eastAsia="zh-CN"/>
        </w:rPr>
        <w:t>。</w:t>
      </w:r>
    </w:p>
    <w:p w14:paraId="42829D92">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风险管理前置:引入第三方风险管理机构，实现施工全过程质量管控，防患于未然</w:t>
      </w:r>
      <w:r>
        <w:rPr>
          <w:rFonts w:hint="eastAsia" w:asciiTheme="minorEastAsia" w:hAnsiTheme="minorEastAsia" w:cstheme="minorEastAsia"/>
          <w:i w:val="0"/>
          <w:iCs w:val="0"/>
          <w:caps w:val="0"/>
          <w:color w:val="000000"/>
          <w:spacing w:val="0"/>
          <w:sz w:val="21"/>
          <w:szCs w:val="21"/>
          <w:lang w:eastAsia="zh-CN"/>
        </w:rPr>
        <w:t>。</w:t>
      </w:r>
    </w:p>
    <w:p w14:paraId="63419E2F">
      <w:pPr>
        <w:rPr>
          <w:rFonts w:hint="eastAsia" w:asciiTheme="minorEastAsia" w:hAnsi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理赔服务高效:建立分级响应机制，紧急案件2小时内响应，普通案件24小时内响应，小额案件24小时内完成维修</w:t>
      </w:r>
      <w:r>
        <w:rPr>
          <w:rFonts w:hint="eastAsia" w:asciiTheme="minorEastAsia" w:hAnsiTheme="minorEastAsia" w:cstheme="minorEastAsia"/>
          <w:i w:val="0"/>
          <w:iCs w:val="0"/>
          <w:caps w:val="0"/>
          <w:color w:val="000000"/>
          <w:spacing w:val="0"/>
          <w:sz w:val="21"/>
          <w:szCs w:val="21"/>
          <w:lang w:eastAsia="zh-CN"/>
        </w:rPr>
        <w:t>。</w:t>
      </w:r>
    </w:p>
    <w:p w14:paraId="41A3CC6C">
      <w:pPr>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风险分散合理:采用共保模式，多家保险公司共同承保，降低单一保险公司风险压力</w:t>
      </w:r>
      <w:r>
        <w:rPr>
          <w:rFonts w:hint="eastAsia" w:asciiTheme="minorEastAsia" w:hAnsiTheme="minorEastAsia" w:cstheme="minorEastAsia"/>
          <w:i w:val="0"/>
          <w:iCs w:val="0"/>
          <w:caps w:val="0"/>
          <w:color w:val="000000"/>
          <w:spacing w:val="0"/>
          <w:sz w:val="21"/>
          <w:szCs w:val="21"/>
          <w:lang w:eastAsia="zh-CN"/>
        </w:rPr>
        <w:t>。</w:t>
      </w:r>
    </w:p>
    <w:p w14:paraId="2BEA66E1">
      <w:pPr>
        <w:rPr>
          <w:rFonts w:hint="eastAsia" w:asciiTheme="minorEastAsia" w:hAnsiTheme="minorEastAsia" w:eastAsiaTheme="minorEastAsia" w:cstheme="minorEastAsia"/>
          <w:i w:val="0"/>
          <w:iCs w:val="0"/>
          <w:caps w:val="0"/>
          <w:color w:val="000000"/>
          <w:spacing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3939A"/>
    <w:multiLevelType w:val="singleLevel"/>
    <w:tmpl w:val="FF03939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C3304"/>
    <w:rsid w:val="0C3E7B22"/>
    <w:rsid w:val="14DC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2026-03-22T04:35:00Z</dcterms:created>
  <dc:creator>姆明谦米   o  o</dc:creator>
  <cp:lastModifiedBy>姆明谦米   o  o</cp:lastModifiedBy>
  <dcterms:modified xsi:type="dcterms:W3CDTF">2026-03-22T05:32:46Z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9BB87A4476344A44AF4C2952F818AD25_11</vt:lpwstr>
  </property>
  <property fmtid="{D5CDD505-2E9C-101B-9397-08002B2CF9AE}" pid="4" name="KSOTemplateDocerSaveRecord">
    <vt:lpwstr>eyJoZGlkIjoiNmUxYzI3MGQ0YTIyNTgyNzAyZGI2MGEzMWEzMzRiNzkiLCJ1c2VySWQiOiI2ODkyNjA5MjAifQ==</vt:lpwstr>
  </property>
</Properties>
</file>