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9CC5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0C3F5D2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742A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6948356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F38A62C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D9FFEBE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B7BED3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0A8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9C408D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4B4CED93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773908EB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182C09C4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454D11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D01662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94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006245">
            <w:pPr>
              <w:ind w:firstLine="384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60A26"/>
                <w:spacing w:val="0"/>
                <w:sz w:val="19"/>
                <w:szCs w:val="19"/>
                <w:shd w:val="clear" w:fill="FFFFFF"/>
              </w:rPr>
              <w:t>项目采取"鉴定先行、新旧分离、重点加固、绿色融合"的综合策略：首先依据《建筑抗震鉴定标准》GB 50023-2009对左侧原拖拉机厂建筑进行抗震性能鉴定，按50年后续使用年限（C类建筑）执行；其次在左右体量之间设置抗震缝，避免新旧结构刚度差异导致地震作用不均匀；针对原厂房框架柱采用外包钢或增大截面法加固，并在关键位置增设混凝土剪力墙提升整体侧向刚度；新建体量按现行规范设计，与改造部分形成"刚柔相济"的抗震体系；同时采用预拌混凝土和预拌砂浆减少施工干扰，保护工业遗产结构完整性，最终实现长春7度设防区丙类建筑抗震安全要求与工业遗存保护的双重目标。</w:t>
            </w:r>
          </w:p>
        </w:tc>
      </w:tr>
    </w:tbl>
    <w:p w14:paraId="3EE02C6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179F7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CA53A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2A0D61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410B302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3D755DB8">
      <w:pPr>
        <w:rPr>
          <w:rFonts w:ascii="Times New Roman" w:hAnsi="Times New Roman" w:eastAsia="宋体" w:cs="Times New Roman"/>
          <w:szCs w:val="21"/>
        </w:rPr>
      </w:pPr>
    </w:p>
    <w:p w14:paraId="475CAD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49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CD894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结构专业图纸与设计说明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3建筑设计/图纸文件/剖面图.jpg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7结构设计/图纸文件/六号厂房原剖面图.jpg</w:t>
            </w:r>
            <w:bookmarkStart w:id="0" w:name="_GoBack"/>
            <w:bookmarkEnd w:id="0"/>
          </w:p>
        </w:tc>
      </w:tr>
    </w:tbl>
    <w:p w14:paraId="286D4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599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5ACA221C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1</Lines>
  <Paragraphs>1</Paragraphs>
  <TotalTime>1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姆明谦米   o  o</cp:lastModifiedBy>
  <dcterms:modified xsi:type="dcterms:W3CDTF">2026-03-24T07:10:42Z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8E8146DE66C4443E9BC97439BD4EDCE3_12</vt:lpwstr>
  </property>
</Properties>
</file>