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B5B52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 w14:paraId="032326A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F0DCEE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3AC733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A29A76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6F4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 w14:paraId="0801794B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14:paraId="0BD4AB6D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 w14:paraId="5855AB5F">
      <w:pPr>
        <w:rPr>
          <w:rFonts w:ascii="Times New Roman" w:hAnsi="Times New Roman" w:eastAsia="宋体" w:cs="Times New Roman"/>
          <w:szCs w:val="21"/>
        </w:rPr>
      </w:pPr>
    </w:p>
    <w:p w14:paraId="518F72E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CEC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 w14:paraId="7419CBE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严格执行室内及建筑主出入口全面禁烟要求，在建筑主出入口、室内公共区域、办公及功能房间等醒目位置规范设置统一禁烟标识，标识清晰、无遮挡、易识别，有效控制室内空气污染，保障室内空气质量符合 GB/T 18883 标准，满足绿色建筑健康舒适与空气质量控制要求。</w:t>
            </w:r>
          </w:p>
        </w:tc>
      </w:tr>
    </w:tbl>
    <w:p w14:paraId="140B95E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6D7BF6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0728B3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 w14:paraId="1763227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 w14:paraId="4651B27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C13575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 w14:paraId="0007F1C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6FC1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 w14:paraId="186A1C6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相关专业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及说明文件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选用</w:t>
            </w:r>
            <w:r>
              <w:rPr>
                <w:rFonts w:ascii="Times New Roman" w:hAnsi="Times New Roman" w:eastAsia="宋体" w:cs="Times New Roman"/>
                <w:szCs w:val="21"/>
              </w:rPr>
              <w:t>装修材料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种类、用量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及相关检测报告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室内空气质量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检测</w:t>
            </w:r>
            <w:r>
              <w:rPr>
                <w:rFonts w:ascii="Times New Roman" w:hAnsi="Times New Roman" w:eastAsia="宋体" w:cs="Times New Roman"/>
                <w:szCs w:val="21"/>
              </w:rPr>
              <w:t>报告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禁烟标志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设置情况。</w:t>
            </w:r>
          </w:p>
          <w:p w14:paraId="4E095AB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B5FAF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65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364</Characters>
  <Lines>2</Lines>
  <Paragraphs>1</Paragraphs>
  <TotalTime>3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刘瀚泽</cp:lastModifiedBy>
  <dcterms:modified xsi:type="dcterms:W3CDTF">2026-03-14T04:09:27Z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eyJoZGlkIjoiZjMzMzJiYzM2YzU5ZWZlYzA2MThhZDIwN2NjYTkwMmUiLCJ1c2VySWQiOiIzMjAyODc3OTQifQ==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B45F5C6A1F714DF59AB13D46547E7ABF_12</vt:lpwstr>
  </property>
</Properties>
</file>