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A844C">
      <w:pPr>
        <w:pStyle w:val="3"/>
        <w:rPr>
          <w:b w:val="0"/>
        </w:rPr>
      </w:pPr>
      <w:r>
        <w:rPr>
          <w:rFonts w:hint="eastAsia"/>
          <w:sz w:val="24"/>
          <w:szCs w:val="40"/>
        </w:rPr>
        <w:t>7.1.9 建筑造型要素应简约，且无大量装饰性构件。</w:t>
      </w:r>
    </w:p>
    <w:p w14:paraId="1F95737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282288CC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202520866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34019075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62B6293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05E86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1）本项目是否使用了装饰性构件： </w:t>
      </w:r>
      <w:sdt>
        <w:sdtPr>
          <w:rPr>
            <w:rFonts w:hint="eastAsia"/>
            <w:sz w:val="28"/>
          </w:rPr>
          <w:id w:val="-198198484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</w:rPr>
        <w:t xml:space="preserve">是、 </w:t>
      </w:r>
      <w:sdt>
        <w:sdtPr>
          <w:rPr>
            <w:rFonts w:hint="eastAsia"/>
            <w:sz w:val="28"/>
          </w:rPr>
          <w:id w:val="1226876626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</w:rPr>
        <w:t>否</w:t>
      </w:r>
    </w:p>
    <w:p w14:paraId="70DC5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2）如果使用了装饰性构件：</w:t>
      </w:r>
    </w:p>
    <w:p w14:paraId="539B0ABE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装饰性构件的造价：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-783813930"/>
          <w:placeholder>
            <w:docPart w:val="A27DB4ECFD584D8EB135A16AA6EB500F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    </w:t>
          </w:r>
        </w:sdtContent>
      </w:sdt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/>
        </w:rPr>
        <w:t>万元，工程总造价：</w:t>
      </w:r>
      <w:r>
        <w:rPr>
          <w:rFonts w:ascii="Times New Roman" w:hAnsi="Times New Roman" w:cs="Times New Roman"/>
          <w:u w:val="single"/>
        </w:rPr>
        <w:t xml:space="preserve">  </w:t>
      </w:r>
      <w:sdt>
        <w:sdtPr>
          <w:rPr>
            <w:rFonts w:ascii="Times New Roman" w:hAnsi="Times New Roman" w:cs="Times New Roman"/>
            <w:u w:val="single"/>
          </w:rPr>
          <w:id w:val="-833226995"/>
          <w:placeholder>
            <w:docPart w:val="92F9967406B4415DA71104A008C1F5F0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    </w:t>
          </w:r>
        </w:sdtContent>
      </w:sdt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/>
        </w:rPr>
        <w:t>万元，装饰性构件造价占工程总造价的比例：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754254978"/>
          <w:placeholder>
            <w:docPart w:val="EFB143E86A774D509C91105AE07FFE62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     </w:t>
          </w:r>
        </w:sdtContent>
      </w:sdt>
    </w:p>
    <w:p w14:paraId="2D72D1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3）装饰性构件的类别为：</w:t>
      </w:r>
    </w:p>
    <w:p w14:paraId="7F8B1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（1）超出安全防护高度2倍的女儿墙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sdt>
        <w:sdtPr>
          <w:rPr>
            <w:rFonts w:hint="eastAsia"/>
            <w:sz w:val="28"/>
          </w:rPr>
          <w:id w:val="13600174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</w:p>
    <w:p w14:paraId="4807A8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（2）仅用于装饰的塔、球、曲面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sdt>
        <w:sdtPr>
          <w:rPr>
            <w:rFonts w:hint="eastAsia"/>
            <w:sz w:val="28"/>
          </w:rPr>
          <w:id w:val="66814683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</w:p>
    <w:p w14:paraId="3BAA2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（3）不具备功能作用的飘板、格栅、构架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sdt>
        <w:sdtPr>
          <w:rPr>
            <w:rFonts w:hint="eastAsia"/>
            <w:sz w:val="28"/>
          </w:rPr>
          <w:id w:val="48983784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</w:p>
    <w:p w14:paraId="4A0E7FE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1C2301F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1A595CE1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1）建筑、</w:t>
      </w:r>
      <w:r>
        <w:rPr>
          <w:rFonts w:ascii="Times New Roman" w:hAnsi="Times New Roman" w:cs="Times New Roman" w:eastAsiaTheme="majorEastAsia"/>
        </w:rPr>
        <w:t>结构</w:t>
      </w:r>
      <w:r>
        <w:rPr>
          <w:rFonts w:hint="eastAsia" w:ascii="Times New Roman" w:hAnsi="Times New Roman" w:cs="Times New Roman" w:eastAsiaTheme="majorEastAsia"/>
        </w:rPr>
        <w:t>专业竣工图及设计说明</w:t>
      </w:r>
      <w:r>
        <w:rPr>
          <w:rFonts w:ascii="Times New Roman" w:hAnsi="Times New Roman" w:cs="Times New Roman" w:eastAsiaTheme="majorEastAsia"/>
        </w:rPr>
        <w:t>；</w:t>
      </w:r>
    </w:p>
    <w:p w14:paraId="697FFFE2">
      <w:pPr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>2</w:t>
      </w:r>
      <w:r>
        <w:rPr>
          <w:rFonts w:hint="eastAsia" w:ascii="Times New Roman" w:hAnsi="Times New Roman" w:cs="Times New Roman" w:eastAsiaTheme="majorEastAsia"/>
        </w:rPr>
        <w:t>）建筑外装修竣工图及设计说明、</w:t>
      </w:r>
      <w:r>
        <w:rPr>
          <w:rFonts w:ascii="Times New Roman" w:hAnsi="Times New Roman" w:cs="Times New Roman" w:eastAsiaTheme="majorEastAsia"/>
        </w:rPr>
        <w:t xml:space="preserve">建筑效果图； </w:t>
      </w:r>
    </w:p>
    <w:p w14:paraId="54E6879C">
      <w:pPr>
        <w:rPr>
          <w:rFonts w:cs="宋体"/>
        </w:rPr>
      </w:pPr>
      <w:r>
        <w:rPr>
          <w:rFonts w:ascii="Times New Roman" w:hAnsi="Times New Roman" w:cs="Times New Roman" w:eastAsiaTheme="majorEastAsia"/>
        </w:rPr>
        <w:t>3</w:t>
      </w:r>
      <w:r>
        <w:rPr>
          <w:rFonts w:hint="eastAsia" w:ascii="Times New Roman" w:hAnsi="Times New Roman" w:cs="Times New Roman" w:eastAsiaTheme="majorEastAsia"/>
        </w:rPr>
        <w:t>）建筑工程造价结算书、装饰性构件造价比例计算书。</w:t>
      </w:r>
    </w:p>
    <w:p w14:paraId="0D74F37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92DE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9B3089D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1. 设计理念</w:t>
            </w:r>
          </w:p>
          <w:p w14:paraId="1E32725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本项目遵循“形式追随功能”的绿色建筑设计原则，建筑造型要素均与建筑功能、结构体系、设备系统紧密结合，未设置纯装饰性构件。</w:t>
            </w:r>
          </w:p>
          <w:p w14:paraId="211D2F1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2. 彩色构件功能说明</w:t>
            </w:r>
          </w:p>
          <w:p w14:paraId="67A5B03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建筑外立面及屋顶设置的彩色构件（包括彩色光伏玻璃、彩色遮阳格栅、彩色光伏幕墙面板等）均具备以下实际功能，不属于纯装饰性构件：</w:t>
            </w:r>
          </w:p>
          <w:tbl>
            <w:tblPr>
              <w:tblW w:w="902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FFFFF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453"/>
              <w:gridCol w:w="7571"/>
            </w:tblGrid>
            <w:tr w14:paraId="25B2634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Header/>
              </w:trPr>
              <w:tc>
                <w:tcPr>
                  <w:tcW w:w="0" w:type="auto"/>
                  <w:tcBorders>
                    <w:top w:val="single" w:color="000000" w:sz="12" w:space="0"/>
                    <w:bottom w:val="single" w:color="000000" w:sz="4" w:space="0"/>
                    <w:right w:val="nil"/>
                    <w:tl2br w:val="nil"/>
                  </w:tcBorders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192" w:type="dxa"/>
                  </w:tcMar>
                  <w:vAlign w:val="center"/>
                </w:tcPr>
                <w:p w14:paraId="3ED25DE4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构件类型</w:t>
                  </w:r>
                </w:p>
              </w:tc>
              <w:tc>
                <w:tcPr>
                  <w:tcW w:w="0" w:type="auto"/>
                  <w:tcBorders>
                    <w:top w:val="single" w:color="000000" w:sz="12" w:space="0"/>
                    <w:left w:val="nil"/>
                    <w:bottom w:val="single" w:color="000000" w:sz="4" w:space="0"/>
                  </w:tcBorders>
                  <w:shd w:val="clear" w:color="auto" w:fill="FFFFFF"/>
                  <w:tcMar>
                    <w:top w:w="120" w:type="dxa"/>
                    <w:left w:w="192" w:type="dxa"/>
                    <w:bottom w:w="120" w:type="dxa"/>
                    <w:right w:w="192" w:type="dxa"/>
                  </w:tcMar>
                  <w:vAlign w:val="center"/>
                </w:tcPr>
                <w:p w14:paraId="38F0348A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功能说明</w:t>
                  </w:r>
                </w:p>
              </w:tc>
            </w:tr>
            <w:tr w14:paraId="33C18A7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0" w:type="auto"/>
                  <w:tcBorders>
                    <w:top w:val="single" w:color="000000" w:sz="4" w:space="0"/>
                    <w:bottom w:val="nil"/>
                    <w:right w:val="nil"/>
                  </w:tcBorders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192" w:type="dxa"/>
                  </w:tcMar>
                  <w:vAlign w:val="center"/>
                </w:tcPr>
                <w:p w14:paraId="13CD4EFD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彩色光伏玻璃幕墙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nil"/>
                    <w:bottom w:val="nil"/>
                  </w:tcBorders>
                  <w:shd w:val="clear" w:color="auto" w:fill="FFFFFF"/>
                  <w:tcMar>
                    <w:top w:w="120" w:type="dxa"/>
                    <w:left w:w="192" w:type="dxa"/>
                    <w:bottom w:w="120" w:type="dxa"/>
                    <w:right w:w="0" w:type="dxa"/>
                  </w:tcMar>
                  <w:vAlign w:val="center"/>
                </w:tcPr>
                <w:p w14:paraId="67E3A7FF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兼具发电（BIPV光伏一体化）与建筑外围护功能，同时通过颜色调节可实现自然采光优化与室内光环境控制</w:t>
                  </w:r>
                </w:p>
              </w:tc>
            </w:tr>
            <w:tr w14:paraId="26CCAAE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0" w:type="auto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192" w:type="dxa"/>
                  </w:tcMar>
                  <w:vAlign w:val="center"/>
                </w:tcPr>
                <w:p w14:paraId="1D1142D4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彩色遮阳格栅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tcMar>
                    <w:top w:w="120" w:type="dxa"/>
                    <w:left w:w="192" w:type="dxa"/>
                    <w:bottom w:w="120" w:type="dxa"/>
                    <w:right w:w="0" w:type="dxa"/>
                  </w:tcMar>
                  <w:vAlign w:val="center"/>
                </w:tcPr>
                <w:p w14:paraId="43FD6BDC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用于调节太阳直射光，降低夏季空调能耗，属于建筑遮阳系统的重要组成部分</w:t>
                  </w:r>
                </w:p>
              </w:tc>
            </w:tr>
            <w:tr w14:paraId="1C9A742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0" w:type="auto"/>
                  <w:tcBorders>
                    <w:top w:val="nil"/>
                    <w:bottom w:val="single" w:color="000000" w:sz="12" w:space="0"/>
                    <w:right w:val="nil"/>
                  </w:tcBorders>
                  <w:shd w:val="clear" w:color="auto" w:fill="FFFFFF"/>
                  <w:tcMar>
                    <w:top w:w="120" w:type="dxa"/>
                    <w:left w:w="0" w:type="dxa"/>
                    <w:bottom w:w="120" w:type="dxa"/>
                    <w:right w:w="192" w:type="dxa"/>
                  </w:tcMar>
                  <w:vAlign w:val="center"/>
                </w:tcPr>
                <w:p w14:paraId="16C84028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彩色光伏屋面构件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color="000000" w:sz="12" w:space="0"/>
                  </w:tcBorders>
                  <w:shd w:val="clear" w:color="auto" w:fill="FFFFFF"/>
                  <w:tcMar>
                    <w:top w:w="120" w:type="dxa"/>
                    <w:left w:w="192" w:type="dxa"/>
                    <w:bottom w:w="120" w:type="dxa"/>
                    <w:right w:w="0" w:type="dxa"/>
                  </w:tcMar>
                  <w:vAlign w:val="center"/>
                </w:tcPr>
                <w:p w14:paraId="65293EF4">
                  <w:pPr>
                    <w:keepNext w:val="0"/>
                    <w:keepLines w:val="0"/>
                    <w:widowControl/>
                    <w:suppressLineNumbers w:val="0"/>
                    <w:spacing w:line="300" w:lineRule="atLeast"/>
                    <w:jc w:val="left"/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sz w:val="18"/>
                      <w:szCs w:val="18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18"/>
                      <w:szCs w:val="18"/>
                      <w:bdr w:val="none" w:color="auto" w:sz="0" w:space="0"/>
                      <w:lang w:val="en-US" w:eastAsia="zh-CN" w:bidi="ar"/>
                    </w:rPr>
                    <w:t>集成光伏发电模块，同时通过色彩设计调节屋面反射率，改善建筑热工性能</w:t>
                  </w:r>
                </w:p>
              </w:tc>
            </w:tr>
          </w:tbl>
          <w:p w14:paraId="404DED53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C70258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3. 女儿墙设计说明</w:t>
            </w:r>
          </w:p>
          <w:p w14:paraId="567B44F4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本项目女儿墙高度按屋面安全防护要求设置，未超出安全防护高度的2倍，属于功能性构造，非装饰性构件。</w:t>
            </w:r>
          </w:p>
          <w:p w14:paraId="03A444A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综上，本项目未设置纯装饰性构件，所有建筑造型要素均与功能系统一体化设计，符合 7.1.9 条 要求。</w:t>
            </w:r>
          </w:p>
          <w:p w14:paraId="6D7BA76E">
            <w:r>
              <w:drawing>
                <wp:inline distT="0" distB="0" distL="114300" distR="114300">
                  <wp:extent cx="4815840" cy="33375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674DC">
            <w:pPr>
              <w:jc w:val="center"/>
              <w:rPr>
                <w:rFonts w:hint="default" w:eastAsiaTheme="minorEastAsia"/>
                <w:b/>
                <w:bCs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lang w:val="en-US" w:eastAsia="zh-CN"/>
              </w:rPr>
              <w:t>幕墙结构爆炸图</w:t>
            </w:r>
          </w:p>
          <w:bookmarkEnd w:id="0"/>
          <w:p w14:paraId="3974EBE0">
            <w:pPr>
              <w:jc w:val="center"/>
            </w:pPr>
            <w:r>
              <w:drawing>
                <wp:inline distT="0" distB="0" distL="114300" distR="114300">
                  <wp:extent cx="3253740" cy="2918460"/>
                  <wp:effectExtent l="0" t="0" r="762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0EB2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明</w:t>
            </w:r>
            <w:r>
              <w:rPr>
                <w:rFonts w:hint="eastAsia"/>
                <w:b/>
                <w:bCs/>
              </w:rPr>
              <w:t>框光伏幕墙铝合金横梁结构</w:t>
            </w:r>
          </w:p>
          <w:p w14:paraId="09D35EC6">
            <w:pPr>
              <w:jc w:val="center"/>
            </w:pPr>
            <w:r>
              <w:drawing>
                <wp:inline distT="0" distB="0" distL="114300" distR="114300">
                  <wp:extent cx="5272405" cy="2658745"/>
                  <wp:effectExtent l="0" t="0" r="635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9E60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建筑效果图</w:t>
            </w:r>
          </w:p>
        </w:tc>
      </w:tr>
    </w:tbl>
    <w:p w14:paraId="35D8C6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1C6"/>
    <w:rsid w:val="00064AD2"/>
    <w:rsid w:val="00074A38"/>
    <w:rsid w:val="00161222"/>
    <w:rsid w:val="00584AA9"/>
    <w:rsid w:val="007F1F26"/>
    <w:rsid w:val="00957CC1"/>
    <w:rsid w:val="00AA4FD3"/>
    <w:rsid w:val="00BF63EB"/>
    <w:rsid w:val="00D011C6"/>
    <w:rsid w:val="00ED56DA"/>
    <w:rsid w:val="773A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3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rPr>
      <w:sz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customStyle="1" w:styleId="11">
    <w:name w:val="页眉 Char"/>
    <w:basedOn w:val="9"/>
    <w:link w:val="5"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uiPriority w:val="99"/>
    <w:rPr>
      <w:sz w:val="18"/>
      <w:szCs w:val="18"/>
    </w:rPr>
  </w:style>
  <w:style w:type="character" w:customStyle="1" w:styleId="13">
    <w:name w:val="标题 4 Char"/>
    <w:basedOn w:val="9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4">
    <w:name w:val="Placeholder Text"/>
    <w:basedOn w:val="9"/>
    <w:semiHidden/>
    <w:uiPriority w:val="99"/>
    <w:rPr>
      <w:color w:val="808080"/>
    </w:rPr>
  </w:style>
  <w:style w:type="table" w:customStyle="1" w:styleId="15">
    <w:name w:val="网格型1"/>
    <w:basedOn w:val="7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样式1"/>
    <w:basedOn w:val="9"/>
    <w:uiPriority w:val="1"/>
    <w:rPr>
      <w:rFonts w:eastAsiaTheme="minorEastAsia"/>
      <w:sz w:val="21"/>
    </w:rPr>
  </w:style>
  <w:style w:type="character" w:customStyle="1" w:styleId="17">
    <w:name w:val="标题 3 Char"/>
    <w:basedOn w:val="9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A27DB4ECFD584D8EB135A16AA6EB500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ECFDDB-0EA8-434C-A780-F77D28BB8A30}"/>
      </w:docPartPr>
      <w:docPartBody>
        <w:p w14:paraId="10ACBA96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2F9967406B4415DA71104A008C1F5F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519AD6-96AB-48C6-87CD-72B8BAC86359}"/>
      </w:docPartPr>
      <w:docPartBody>
        <w:p w14:paraId="55C8EF04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FB143E86A774D509C91105AE07FFE6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DF02697-134B-4819-8CC4-8D49A3961856}"/>
      </w:docPartPr>
      <w:docPartBody>
        <w:p w14:paraId="64E894B0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E14"/>
    <w:rsid w:val="00497250"/>
    <w:rsid w:val="004B3E14"/>
    <w:rsid w:val="00601A5D"/>
    <w:rsid w:val="0061547B"/>
    <w:rsid w:val="00A402C8"/>
    <w:rsid w:val="00F8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A27DB4ECFD584D8EB135A16AA6EB500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92F9967406B4415DA71104A008C1F5F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FB143E86A774D509C91105AE07FFE6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563DF0AC50304EFCB3A5D8C9060F862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262</Words>
  <Characters>266</Characters>
  <Lines>2</Lines>
  <Paragraphs>1</Paragraphs>
  <TotalTime>10</TotalTime>
  <ScaleCrop>false</ScaleCrop>
  <LinksUpToDate>false</LinksUpToDate>
  <CharactersWithSpaces>318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2019-07-12T08:05:00Z</dcterms:created>
  <dc:creator>dongYP</dc:creator>
  <cp:lastModifiedBy>一方.</cp:lastModifiedBy>
  <dcterms:modified xsi:type="dcterms:W3CDTF">2026-03-13T11:18:25Z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eyJoZGlkIjoiYzE0NjQ0NTEwNzM1ZjdlNTVhMDU3NTRhZTVhODM4ZTciLCJ1c2VySWQiOiIxMDY4MzEwOTA0In0=</vt:lpwstr>
  </property>
  <property fmtid="{D5CDD505-2E9C-101B-9397-08002B2CF9AE}" pid="3" name="KSOProductBuildVer">
    <vt:lpwstr>2052-12.1.0.25225</vt:lpwstr>
  </property>
  <property fmtid="{D5CDD505-2E9C-101B-9397-08002B2CF9AE}" pid="4" name="ICV">
    <vt:lpwstr>E30C5CF826984E0D988682B81D7AE738_12</vt:lpwstr>
  </property>
</Properties>
</file>