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44D4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3B0277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252EFB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6D906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0E98CFF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157B312F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0F2D2994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1.5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≥1.2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4A723CFC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5200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%。</w:t>
      </w:r>
    </w:p>
    <w:p w14:paraId="2DC3931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A8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F974E2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 w14:paraId="3A4A662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 w14:paraId="0E7F7C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F89B1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000EE79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40BA64EB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33FCA516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450F0816"/>
    <w:p w14:paraId="658F753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17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E7A643">
            <w:pPr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景观图纸及设计说明</w:t>
            </w:r>
          </w:p>
          <w:p w14:paraId="4716B6C9">
            <w:pPr>
              <w:ind w:left="210" w:hanging="210" w:hangingChars="100"/>
            </w:pPr>
            <w:r>
              <w:rPr>
                <w:rFonts w:hint="eastAsia"/>
              </w:rPr>
              <w:t>建筑专业图纸及设计说明，包括屋顶绿化、垂直绿化的绿化区域及面积、覆土深度、排水能力的内容；</w:t>
            </w:r>
          </w:p>
          <w:p w14:paraId="2755A3D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76BC9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7DD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6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一方.</cp:lastModifiedBy>
  <dcterms:modified xsi:type="dcterms:W3CDTF">2026-03-13T11:46:31Z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DCC433E23F65478C9CB6DD8E74B2BD6F_12</vt:lpwstr>
  </property>
</Properties>
</file>