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</w:pPr>
      <w:r>
        <w:rPr>
          <w:rFonts w:hint="eastAsia"/>
          <w:u w:val="single"/>
          <w:lang w:val="en-US" w:eastAsia="zh-CN"/>
        </w:rPr>
        <w:t>绿蕴新知—长沙某图书馆绿色低碳改造及运维</w:t>
      </w:r>
      <w:r>
        <w:t xml:space="preserve"> </w:t>
      </w:r>
    </w:p>
    <w:p>
      <w:pPr>
        <w:pStyle w:val="2"/>
        <w:jc w:val="center"/>
      </w:pPr>
      <w:r>
        <w:rPr>
          <w:rFonts w:hint="eastAsia"/>
        </w:rPr>
        <w:t>地下空间开发利用</w:t>
      </w:r>
      <w:r>
        <w:t>计算书</w:t>
      </w:r>
    </w:p>
    <w:p>
      <w:pPr>
        <w:rPr>
          <w:kern w:val="44"/>
          <w:sz w:val="44"/>
          <w:szCs w:val="44"/>
        </w:rPr>
      </w:pPr>
      <w:r>
        <w:br w:type="page"/>
      </w:r>
    </w:p>
    <w:p>
      <w:pPr>
        <w:pStyle w:val="3"/>
        <w:rPr>
          <w:rStyle w:val="12"/>
          <w:i w:val="0"/>
          <w:iCs w:val="0"/>
          <w:color w:val="auto"/>
        </w:rPr>
      </w:pPr>
      <w:r>
        <w:rPr>
          <w:rStyle w:val="12"/>
          <w:rFonts w:hint="eastAsia"/>
          <w:i w:val="0"/>
          <w:iCs w:val="0"/>
          <w:color w:val="auto"/>
        </w:rPr>
        <w:t>1</w:t>
      </w:r>
      <w:r>
        <w:rPr>
          <w:rStyle w:val="12"/>
          <w:i w:val="0"/>
          <w:iCs w:val="0"/>
          <w:color w:val="auto"/>
        </w:rPr>
        <w:t xml:space="preserve"> </w:t>
      </w:r>
      <w:r>
        <w:rPr>
          <w:rStyle w:val="12"/>
          <w:rFonts w:hint="eastAsia"/>
          <w:i w:val="0"/>
          <w:iCs w:val="0"/>
          <w:color w:val="auto"/>
        </w:rPr>
        <w:t>项目</w:t>
      </w:r>
      <w:r>
        <w:rPr>
          <w:rStyle w:val="12"/>
          <w:i w:val="0"/>
          <w:iCs w:val="0"/>
          <w:color w:val="auto"/>
        </w:rPr>
        <w:t>概况</w:t>
      </w:r>
    </w:p>
    <w:p>
      <w:pPr>
        <w:ind w:firstLine="482" w:firstLineChars="200"/>
        <w:rPr>
          <w:sz w:val="24"/>
        </w:rPr>
      </w:pPr>
      <w:r>
        <w:rPr>
          <w:b/>
          <w:sz w:val="24"/>
        </w:rPr>
        <w:t>项目名称</w:t>
      </w:r>
      <w:r>
        <w:rPr>
          <w:sz w:val="24"/>
        </w:rPr>
        <w:t>：</w:t>
      </w:r>
      <w:r>
        <w:rPr>
          <w:rFonts w:hint="eastAsia"/>
          <w:sz w:val="24"/>
          <w:lang w:val="en-US" w:eastAsia="zh-CN"/>
        </w:rPr>
        <w:t>绿蕴新知—长沙某图书馆绿色低碳改造及运维</w:t>
      </w:r>
    </w:p>
    <w:p>
      <w:pPr>
        <w:ind w:firstLine="480" w:firstLineChars="200"/>
        <w:rPr>
          <w:sz w:val="24"/>
        </w:rPr>
      </w:pPr>
      <w:r>
        <w:rPr>
          <w:sz w:val="24"/>
        </w:rPr>
        <w:t>项目位于</w:t>
      </w:r>
      <w:r>
        <w:rPr>
          <w:rFonts w:hint="eastAsia"/>
          <w:sz w:val="24"/>
          <w:lang w:val="en-US" w:eastAsia="zh-CN"/>
        </w:rPr>
        <w:t>湖南省长沙市天心区长沙理工大学</w:t>
      </w:r>
      <w:r>
        <w:rPr>
          <w:sz w:val="24"/>
        </w:rPr>
        <w:t>。</w:t>
      </w:r>
      <w:r>
        <w:rPr>
          <w:spacing w:val="4"/>
          <w:lang w:eastAsia="zh-CN"/>
        </w:rPr>
        <w:t>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3500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 </w:t>
      </w:r>
      <w:r>
        <w:rPr>
          <w:rFonts w:ascii="Calibri" w:hAnsi="Calibri" w:eastAsia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u w:val="single"/>
        </w:rPr>
        <w:t>164406.84</w:t>
      </w:r>
      <w:r>
        <w:rPr>
          <w:rFonts w:ascii="Calibri" w:hAnsi="Calibri" w:eastAsia="Calibri" w:cs="Calibri"/>
          <w:w w:val="95"/>
          <w:u w:val="single" w:color="000000"/>
          <w:lang w:eastAsia="zh-CN"/>
        </w:rPr>
        <w:tab/>
      </w:r>
      <w:r>
        <w:rPr>
          <w:spacing w:val="-1"/>
          <w:lang w:eastAsia="zh-CN"/>
        </w:rPr>
        <w:t>平方米</w:t>
      </w:r>
      <w:r>
        <w:rPr>
          <w:sz w:val="24"/>
        </w:rPr>
        <w:t>。</w:t>
      </w:r>
    </w:p>
    <w:p>
      <w:pPr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70500" cy="3504565"/>
            <wp:effectExtent l="0" t="0" r="2540" b="635"/>
            <wp:docPr id="1" name="图片 1" descr="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效果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>
      <w:pPr>
        <w:spacing w:line="360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</w:t>
      </w:r>
      <w:r>
        <w:rPr>
          <w:rFonts w:hint="eastAsia"/>
          <w:sz w:val="24"/>
        </w:rPr>
        <w:t>（2</w:t>
      </w:r>
      <w:r>
        <w:rPr>
          <w:sz w:val="24"/>
        </w:rPr>
        <w:t>024</w:t>
      </w:r>
      <w:r>
        <w:rPr>
          <w:rFonts w:hint="eastAsia"/>
          <w:sz w:val="24"/>
        </w:rPr>
        <w:t>年版）</w:t>
      </w:r>
      <w:r>
        <w:rPr>
          <w:sz w:val="24"/>
        </w:rPr>
        <w:t>第7.2.2 条明确要求：</w:t>
      </w:r>
    </w:p>
    <w:p>
      <w:pPr>
        <w:spacing w:line="360" w:lineRule="auto"/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合理开发利用地下空间，评价总分值为12分，根据地下空间开发利用指标，按表7.2.2的规则评分。</w:t>
      </w:r>
    </w:p>
    <w:p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p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tbl>
      <w:tblPr>
        <w:tblStyle w:val="8"/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4307"/>
        <w:gridCol w:w="2349"/>
        <w:gridCol w:w="75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公共建筑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地下建筑面积与总用地面积的比率Rp1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>
      <w:pPr>
        <w:ind w:firstLine="420"/>
        <w:rPr>
          <w:rFonts w:asciiTheme="minorEastAsia" w:hAnsiTheme="minorEastAsia"/>
          <w:sz w:val="24"/>
          <w:szCs w:val="21"/>
        </w:rPr>
      </w:pPr>
    </w:p>
    <w:p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地上建筑面积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u w:val="single"/>
          <w:lang w:val="en-US" w:eastAsia="zh-CN"/>
        </w:rPr>
        <w:t>35076.39</w:t>
      </w:r>
      <w:r>
        <w:rPr>
          <w:rFonts w:hint="eastAsia"/>
          <w:u w:val="single"/>
        </w:rPr>
        <w:t>㎡</w:t>
      </w:r>
    </w:p>
    <w:p>
      <w:pPr>
        <w:ind w:firstLine="420"/>
      </w:pPr>
    </w:p>
    <w:p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2559.24</w:t>
      </w:r>
      <w:r>
        <w:rPr>
          <w:rFonts w:hint="eastAsia"/>
          <w:u w:val="single"/>
        </w:rPr>
        <w:t>㎡</w:t>
      </w:r>
    </w:p>
    <w:p>
      <w:pPr>
        <w:ind w:firstLine="420"/>
        <w:rPr>
          <w:u w:val="single"/>
        </w:rPr>
      </w:pPr>
    </w:p>
    <w:p>
      <w:pPr>
        <w:ind w:firstLine="420"/>
      </w:pPr>
      <w:r>
        <w:rPr>
          <w:rFonts w:asciiTheme="minorEastAsia" w:hAnsiTheme="minorEastAsia"/>
          <w:sz w:val="24"/>
          <w:szCs w:val="21"/>
        </w:rPr>
        <w:t>Rp1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地上建筑面积</w:t>
      </w:r>
    </w:p>
    <w:p>
      <w:pPr>
        <w:ind w:left="1260" w:firstLine="210" w:firstLineChars="100"/>
      </w:pPr>
    </w:p>
    <w:p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35076.39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2559.24</w:t>
      </w:r>
      <w:r>
        <w:rPr>
          <w:rFonts w:hint="eastAsia"/>
          <w:u w:val="single"/>
        </w:rPr>
        <w:t xml:space="preserve"> </w:t>
      </w:r>
      <w:r>
        <w:t xml:space="preserve">  =</w:t>
      </w:r>
      <w:r>
        <w:rPr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13.7</w:t>
      </w:r>
      <w:r>
        <w:rPr>
          <w:u w:val="single"/>
        </w:rPr>
        <w:t xml:space="preserve">   </w:t>
      </w:r>
    </w:p>
    <w:p>
      <w:pPr>
        <w:ind w:firstLine="420"/>
        <w:rPr>
          <w:u w:val="single"/>
        </w:rPr>
      </w:pPr>
    </w:p>
    <w:p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地下一层建筑面积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2559.24</w:t>
      </w:r>
      <w:r>
        <w:rPr>
          <w:u w:val="single"/>
        </w:rPr>
        <w:t xml:space="preserve">     </w:t>
      </w:r>
      <w:r>
        <w:rPr>
          <w:rFonts w:hint="eastAsia"/>
          <w:u w:val="single"/>
        </w:rPr>
        <w:t>㎡</w:t>
      </w:r>
    </w:p>
    <w:p>
      <w:pPr>
        <w:ind w:firstLine="420"/>
      </w:pPr>
    </w:p>
    <w:p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总用地面积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3500</w:t>
      </w:r>
      <w:r>
        <w:rPr>
          <w:u w:val="single"/>
        </w:rPr>
        <w:t xml:space="preserve">      </w:t>
      </w:r>
      <w:r>
        <w:rPr>
          <w:rFonts w:hint="eastAsia"/>
          <w:u w:val="single"/>
        </w:rPr>
        <w:t>㎡</w:t>
      </w:r>
    </w:p>
    <w:p>
      <w:pPr>
        <w:ind w:firstLine="420"/>
        <w:rPr>
          <w:u w:val="single"/>
        </w:rPr>
      </w:pPr>
    </w:p>
    <w:p/>
    <w:p>
      <w:pPr>
        <w:ind w:firstLine="420"/>
      </w:pPr>
      <w:r>
        <w:rPr>
          <w:rFonts w:asciiTheme="minorEastAsia" w:hAnsiTheme="minorEastAsia"/>
          <w:sz w:val="24"/>
          <w:szCs w:val="21"/>
        </w:rPr>
        <w:t>Rp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地下一层建筑面积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总用地面积</w:t>
      </w:r>
    </w:p>
    <w:p>
      <w:pPr>
        <w:ind w:left="1260" w:firstLine="210" w:firstLineChars="100"/>
      </w:pPr>
    </w:p>
    <w:p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2559.24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4273.9</w:t>
      </w:r>
      <w:r>
        <w:rPr>
          <w:rFonts w:hint="eastAsia"/>
          <w:u w:val="single"/>
        </w:rPr>
        <w:t xml:space="preserve">     </w:t>
      </w:r>
      <w:r>
        <w:t xml:space="preserve">  =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0.59</w:t>
      </w:r>
      <w:r>
        <w:rPr>
          <w:u w:val="single"/>
        </w:rPr>
        <w:t xml:space="preserve">     </w:t>
      </w:r>
    </w:p>
    <w:p>
      <w:pPr>
        <w:rPr>
          <w:u w:val="single"/>
        </w:rPr>
      </w:pPr>
    </w:p>
    <w:p>
      <w:pPr>
        <w:rPr>
          <w:u w:val="single"/>
        </w:rPr>
      </w:pPr>
    </w:p>
    <w:p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>
      <w:r>
        <w:tab/>
      </w:r>
      <w:r>
        <w:rPr>
          <w:rFonts w:hint="eastAsia"/>
        </w:rPr>
        <w:t>经验算</w:t>
      </w:r>
      <w:r>
        <w:t>，</w:t>
      </w:r>
      <w:r>
        <w:rPr>
          <w:rFonts w:asciiTheme="minorEastAsia" w:hAnsiTheme="minorEastAsia"/>
          <w:sz w:val="24"/>
          <w:szCs w:val="21"/>
        </w:rPr>
        <w:t>地下建筑面积与地上建筑面积的比率Rp1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13.7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 </w:t>
      </w:r>
      <w:r>
        <w:rPr>
          <w:rFonts w:hint="eastAsia" w:asciiTheme="minorEastAsia" w:hAnsiTheme="minorEastAsia"/>
          <w:sz w:val="24"/>
          <w:szCs w:val="21"/>
        </w:rPr>
        <w:t>；</w:t>
      </w:r>
      <w:r>
        <w:rPr>
          <w:rFonts w:asciiTheme="minorEastAsia" w:hAnsiTheme="minorEastAsia"/>
          <w:sz w:val="24"/>
          <w:szCs w:val="21"/>
        </w:rPr>
        <w:t>地下一层建筑面积与总用地面积的比率Rp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0.59</w:t>
      </w:r>
      <w:bookmarkStart w:id="0" w:name="_GoBack"/>
      <w:bookmarkEnd w:id="0"/>
      <w:r>
        <w:rPr>
          <w:rFonts w:hint="eastAsia" w:asciiTheme="minorEastAsia" w:hAnsiTheme="minorEastAsia"/>
          <w:sz w:val="24"/>
          <w:szCs w:val="21"/>
          <w:u w:val="single"/>
        </w:rPr>
        <w:t xml:space="preserve">  </w:t>
      </w:r>
      <w:r>
        <w:rPr>
          <w:rFonts w:hint="eastAsia" w:asciiTheme="minorEastAsia" w:hAnsiTheme="minorEastAsia"/>
          <w:sz w:val="24"/>
          <w:szCs w:val="21"/>
        </w:rPr>
        <w:t>；满足规范</w:t>
      </w:r>
      <w:r>
        <w:rPr>
          <w:rFonts w:asciiTheme="minorEastAsia" w:hAnsiTheme="minorEastAsia"/>
          <w:sz w:val="24"/>
          <w:szCs w:val="21"/>
        </w:rPr>
        <w:t>要求，得</w:t>
      </w:r>
      <w:r>
        <w:rPr>
          <w:rFonts w:hint="eastAsia" w:asciiTheme="minorEastAsia" w:hAnsiTheme="minorEastAsia"/>
          <w:sz w:val="24"/>
          <w:szCs w:val="21"/>
          <w:highlight w:val="cyan"/>
        </w:rPr>
        <w:t>12</w:t>
      </w:r>
      <w:r>
        <w:rPr>
          <w:rFonts w:hint="eastAsia" w:asciiTheme="minorEastAsia" w:hAnsiTheme="minor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>
      <w:pPr>
        <w:rPr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5A39047-F6DD-4E41-B909-F5B40D2D21B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2AF7F05-748F-4B40-886A-1525CBC5B02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FA50C1A-AE86-4912-B53A-F4791D3EA1B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8CE8079-2F11-4F0F-9823-4ECF47BAFAE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FF9E81F-6A0E-428A-8500-7D3FE30F5540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6" w:fontKey="{008A874D-46A0-4829-84E9-BD1B7CED19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0F1589"/>
    <w:rsid w:val="00286402"/>
    <w:rsid w:val="002E5D27"/>
    <w:rsid w:val="003F4E9B"/>
    <w:rsid w:val="00427EC4"/>
    <w:rsid w:val="00625AA6"/>
    <w:rsid w:val="006E1F86"/>
    <w:rsid w:val="00865ACB"/>
    <w:rsid w:val="00B16C8C"/>
    <w:rsid w:val="00B749F4"/>
    <w:rsid w:val="00C12105"/>
    <w:rsid w:val="00D139C5"/>
    <w:rsid w:val="00D75A5F"/>
    <w:rsid w:val="00E94094"/>
    <w:rsid w:val="07D5006A"/>
    <w:rsid w:val="4B9B37BD"/>
    <w:rsid w:val="71D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1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1">
    <w:name w:val="副标题 字符"/>
    <w:basedOn w:val="9"/>
    <w:link w:val="6"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2">
    <w:name w:val="Subtle Emphasis"/>
    <w:basedOn w:val="9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3">
    <w:name w:val="标题 字符"/>
    <w:basedOn w:val="9"/>
    <w:link w:val="7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4">
    <w:name w:val="标题 2 字符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6">
    <w:name w:val="页眉 字符"/>
    <w:basedOn w:val="9"/>
    <w:link w:val="5"/>
    <w:uiPriority w:val="99"/>
    <w:rPr>
      <w:sz w:val="18"/>
      <w:szCs w:val="18"/>
    </w:rPr>
  </w:style>
  <w:style w:type="character" w:customStyle="1" w:styleId="17">
    <w:name w:val="页脚 字符"/>
    <w:basedOn w:val="9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104</Words>
  <Characters>595</Characters>
  <Lines>4</Lines>
  <Paragraphs>1</Paragraphs>
  <TotalTime>5</TotalTime>
  <ScaleCrop>false</ScaleCrop>
  <LinksUpToDate>false</LinksUpToDate>
  <CharactersWithSpaces>698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T。</cp:lastModifiedBy>
  <dcterms:modified xsi:type="dcterms:W3CDTF">2026-03-18T02:29:00Z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