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0"/>
              </w:rPr>
              <w:t>住区热环境设计报告</w:t>
            </w:r>
            <w:r>
              <w:rPr>
                <w:rFonts w:hint="eastAsia" w:ascii="微软雅黑" w:hAnsi="微软雅黑" w:eastAsia="微软雅黑"/>
                <w:b/>
                <w:bCs/>
                <w:kern w:val="0"/>
                <w:sz w:val="72"/>
                <w:szCs w:val="52"/>
                <w:fitText w:val="8640" w:id="0"/>
              </w:rPr>
              <w:t>书</w:t>
            </w:r>
          </w:p>
          <w:p>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长沙市某图书馆</w:t>
            </w:r>
            <w:bookmarkEnd w:id="1"/>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r>
              <w:rPr>
                <w:rFonts w:hint="eastAsia" w:ascii="微软雅黑" w:hAnsi="微软雅黑" w:eastAsia="微软雅黑"/>
                <w:b/>
                <w:kern w:val="2"/>
                <w:sz w:val="32"/>
                <w:szCs w:val="52"/>
                <w:lang w:val="en-US"/>
              </w:rPr>
              <w:t>YBB80016</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jc w:val="center"/>
              <w:rPr>
                <w:rFonts w:hint="eastAsia" w:ascii="微软雅黑" w:hAnsi="微软雅黑" w:eastAsia="微软雅黑"/>
                <w:b/>
                <w:kern w:val="2"/>
                <w:sz w:val="32"/>
                <w:szCs w:val="52"/>
              </w:rPr>
            </w:pPr>
            <w:bookmarkStart w:id="3" w:name="二维码"/>
            <w:bookmarkEnd w:id="3"/>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widowControl w:val="0"/>
        <w:jc w:val="center"/>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长沙</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2026年1月1日</w:t>
            </w:r>
            <w:bookmarkEnd w:id="7"/>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T18890004197</w:t>
            </w:r>
            <w:bookmarkEnd w:id="10"/>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rPr>
          <w:sz w:val="18"/>
        </w:rPr>
      </w:pPr>
    </w:p>
    <w:p>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pPr>
        <w:tabs>
          <w:tab w:val="left" w:pos="2359"/>
        </w:tabs>
        <w:jc w:val="center"/>
        <w:rPr>
          <w:rFonts w:hint="eastAsia" w:ascii="宋体" w:hAnsi="宋体"/>
          <w:b/>
          <w:bCs/>
          <w:sz w:val="32"/>
          <w:szCs w:val="32"/>
        </w:rPr>
      </w:pP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_Toc23861 </w:instrText>
      </w:r>
      <w:r>
        <w:rPr>
          <w:rFonts w:ascii="宋体" w:hAnsi="宋体"/>
          <w:bCs w:val="0"/>
          <w:caps/>
        </w:rPr>
        <w:fldChar w:fldCharType="separate"/>
      </w:r>
      <w:r>
        <w:rPr>
          <w:rFonts w:hint="eastAsia"/>
        </w:rPr>
        <w:t>1 住区概况</w:t>
      </w:r>
      <w:r>
        <w:tab/>
      </w:r>
      <w:r>
        <w:fldChar w:fldCharType="begin"/>
      </w:r>
      <w:r>
        <w:instrText xml:space="preserve"> PAGEREF _Toc23861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_Toc14935 </w:instrText>
      </w:r>
      <w:r>
        <w:fldChar w:fldCharType="separate"/>
      </w:r>
      <w:r>
        <w:rPr>
          <w:rFonts w:hint="eastAsia"/>
        </w:rPr>
        <w:t>2 设计依据</w:t>
      </w:r>
      <w:r>
        <w:tab/>
      </w:r>
      <w:r>
        <w:fldChar w:fldCharType="begin"/>
      </w:r>
      <w:r>
        <w:instrText xml:space="preserve"> PAGEREF _Toc14935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_Toc31633 </w:instrText>
      </w:r>
      <w:r>
        <w:fldChar w:fldCharType="separate"/>
      </w:r>
      <w:r>
        <w:rPr>
          <w:rFonts w:hint="eastAsia"/>
        </w:rPr>
        <w:t>3 计算规定</w:t>
      </w:r>
      <w:r>
        <w:tab/>
      </w:r>
      <w:r>
        <w:fldChar w:fldCharType="begin"/>
      </w:r>
      <w:r>
        <w:instrText xml:space="preserve"> PAGEREF _Toc31633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_Toc21112 </w:instrText>
      </w:r>
      <w:r>
        <w:fldChar w:fldCharType="separate"/>
      </w:r>
      <w:r>
        <w:rPr>
          <w:rFonts w:hint="eastAsia"/>
          <w:lang w:val="en-GB"/>
        </w:rPr>
        <w:t xml:space="preserve">3.1 </w:t>
      </w:r>
      <w:r>
        <w:rPr>
          <w:rFonts w:hint="eastAsia"/>
        </w:rPr>
        <w:t>评价性设计</w:t>
      </w:r>
      <w:r>
        <w:tab/>
      </w:r>
      <w:r>
        <w:fldChar w:fldCharType="begin"/>
      </w:r>
      <w:r>
        <w:instrText xml:space="preserve"> PAGEREF _Toc21112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_Toc20659 </w:instrText>
      </w:r>
      <w:r>
        <w:fldChar w:fldCharType="separate"/>
      </w:r>
      <w:r>
        <w:rPr>
          <w:rFonts w:hint="eastAsia"/>
        </w:rPr>
        <w:t>4 计算方法</w:t>
      </w:r>
      <w:r>
        <w:tab/>
      </w:r>
      <w:r>
        <w:fldChar w:fldCharType="begin"/>
      </w:r>
      <w:r>
        <w:instrText xml:space="preserve"> PAGEREF _Toc20659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_Toc5405 </w:instrText>
      </w:r>
      <w:r>
        <w:fldChar w:fldCharType="separate"/>
      </w:r>
      <w:r>
        <w:rPr>
          <w:rFonts w:hint="eastAsia"/>
        </w:rPr>
        <w:t>5 计算参数</w:t>
      </w:r>
      <w:r>
        <w:tab/>
      </w:r>
      <w:r>
        <w:fldChar w:fldCharType="begin"/>
      </w:r>
      <w:r>
        <w:instrText xml:space="preserve"> PAGEREF _Toc5405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_Toc29372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_Toc29372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_Toc24766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_Toc24766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_Toc11212 </w:instrText>
      </w:r>
      <w:r>
        <w:fldChar w:fldCharType="separate"/>
      </w:r>
      <w:r>
        <w:rPr>
          <w:rFonts w:hint="eastAsia"/>
        </w:rPr>
        <w:t>6 指标概览</w:t>
      </w:r>
      <w:r>
        <w:tab/>
      </w:r>
      <w:r>
        <w:fldChar w:fldCharType="begin"/>
      </w:r>
      <w:r>
        <w:instrText xml:space="preserve"> PAGEREF _Toc11212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_Toc20053 </w:instrText>
      </w:r>
      <w:r>
        <w:fldChar w:fldCharType="separate"/>
      </w:r>
      <w:r>
        <w:rPr>
          <w:rFonts w:hint="eastAsia"/>
          <w:lang w:val="en-GB"/>
        </w:rPr>
        <w:t xml:space="preserve">6.1 </w:t>
      </w:r>
      <w:r>
        <w:rPr>
          <w:rFonts w:hint="eastAsia"/>
        </w:rPr>
        <w:t>建筑列表</w:t>
      </w:r>
      <w:r>
        <w:tab/>
      </w:r>
      <w:r>
        <w:fldChar w:fldCharType="begin"/>
      </w:r>
      <w:r>
        <w:instrText xml:space="preserve"> PAGEREF _Toc20053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_Toc21198 </w:instrText>
      </w:r>
      <w:r>
        <w:fldChar w:fldCharType="separate"/>
      </w:r>
      <w:r>
        <w:rPr>
          <w:rFonts w:hint="eastAsia"/>
          <w:lang w:val="en-GB"/>
        </w:rPr>
        <w:t xml:space="preserve">6.2 </w:t>
      </w:r>
      <w:r>
        <w:rPr>
          <w:rFonts w:hint="eastAsia"/>
        </w:rPr>
        <w:t>住区指标</w:t>
      </w:r>
      <w:r>
        <w:tab/>
      </w:r>
      <w:r>
        <w:fldChar w:fldCharType="begin"/>
      </w:r>
      <w:r>
        <w:instrText xml:space="preserve"> PAGEREF _Toc21198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_Toc23447 </w:instrText>
      </w:r>
      <w:r>
        <w:fldChar w:fldCharType="separate"/>
      </w:r>
      <w:r>
        <w:rPr>
          <w:rFonts w:hint="eastAsia"/>
        </w:rPr>
        <w:t>7 评价性设计</w:t>
      </w:r>
      <w:r>
        <w:tab/>
      </w:r>
      <w:r>
        <w:fldChar w:fldCharType="begin"/>
      </w:r>
      <w:r>
        <w:instrText xml:space="preserve"> PAGEREF _Toc23447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_Toc12112 </w:instrText>
      </w:r>
      <w:r>
        <w:fldChar w:fldCharType="separate"/>
      </w:r>
      <w:r>
        <w:rPr>
          <w:rFonts w:hint="eastAsia"/>
          <w:lang w:val="en-GB"/>
        </w:rPr>
        <w:t xml:space="preserve">7.1 </w:t>
      </w:r>
      <w:r>
        <w:rPr>
          <w:rFonts w:hint="eastAsia"/>
        </w:rPr>
        <w:t>平均热岛强度</w:t>
      </w:r>
      <w:r>
        <w:tab/>
      </w:r>
      <w:r>
        <w:fldChar w:fldCharType="begin"/>
      </w:r>
      <w:r>
        <w:instrText xml:space="preserve"> PAGEREF _Toc12112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_Toc6108 </w:instrText>
      </w:r>
      <w:r>
        <w:fldChar w:fldCharType="separate"/>
      </w:r>
      <w:r>
        <w:rPr>
          <w:rFonts w:hint="eastAsia"/>
          <w:lang w:val="en-GB"/>
        </w:rPr>
        <w:t xml:space="preserve">7.2 </w:t>
      </w:r>
      <w:r>
        <w:rPr>
          <w:rFonts w:hint="eastAsia"/>
        </w:rPr>
        <w:t>湿球黑球温度</w:t>
      </w:r>
      <w:r>
        <w:tab/>
      </w:r>
      <w:r>
        <w:fldChar w:fldCharType="begin"/>
      </w:r>
      <w:r>
        <w:instrText xml:space="preserve"> PAGEREF _Toc6108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_Toc26943 </w:instrText>
      </w:r>
      <w:r>
        <w:fldChar w:fldCharType="separate"/>
      </w:r>
      <w:r>
        <w:rPr>
          <w:rFonts w:hint="eastAsia"/>
        </w:rPr>
        <w:t>8 结论</w:t>
      </w:r>
      <w:r>
        <w:tab/>
      </w:r>
      <w:r>
        <w:fldChar w:fldCharType="begin"/>
      </w:r>
      <w:r>
        <w:instrText xml:space="preserve"> PAGEREF _Toc26943 </w:instrText>
      </w:r>
      <w:r>
        <w:fldChar w:fldCharType="separate"/>
      </w:r>
      <w:r>
        <w:t>10</w:t>
      </w:r>
      <w:r>
        <w:fldChar w:fldCharType="end"/>
      </w:r>
      <w:r>
        <w:fldChar w:fldCharType="end"/>
      </w:r>
    </w:p>
    <w:p>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pPr>
        <w:pStyle w:val="16"/>
      </w:pPr>
    </w:p>
    <w:p>
      <w:pPr>
        <w:pStyle w:val="2"/>
      </w:pPr>
      <w:bookmarkStart w:id="12" w:name="_Toc23861"/>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pPr>
              <w:pStyle w:val="3"/>
              <w:ind w:firstLine="0" w:firstLineChars="0"/>
              <w:rPr>
                <w:rFonts w:hint="eastAsia" w:ascii="宋体" w:hAnsi="宋体"/>
                <w:lang w:val="en-US"/>
              </w:rPr>
            </w:pPr>
            <w:bookmarkStart w:id="13" w:name="工程名称1"/>
            <w:r>
              <w:rPr>
                <w:rFonts w:hint="eastAsia" w:ascii="宋体" w:hAnsi="宋体"/>
              </w:rPr>
              <w:t>长沙市某图书馆</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pPr>
              <w:pStyle w:val="3"/>
              <w:ind w:firstLine="0" w:firstLineChars="0"/>
              <w:rPr>
                <w:rFonts w:hint="eastAsia" w:ascii="宋体" w:hAnsi="宋体"/>
                <w:lang w:val="en-US"/>
              </w:rPr>
            </w:pPr>
            <w:bookmarkStart w:id="14" w:name="工程地点"/>
            <w:r>
              <w:t>长沙</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t>28.20</w:t>
            </w:r>
            <w:bookmarkEnd w:id="15"/>
            <w:r>
              <w:rPr>
                <w:rFonts w:hint="eastAsia" w:ascii="宋体" w:hAnsi="宋体"/>
                <w:lang w:val="en-US"/>
              </w:rPr>
              <w:t>°</w:t>
            </w:r>
          </w:p>
        </w:tc>
        <w:tc>
          <w:tcPr>
            <w:tcW w:w="3033" w:type="dxa"/>
          </w:tcPr>
          <w:p>
            <w:pPr>
              <w:pStyle w:val="3"/>
              <w:ind w:firstLine="0" w:firstLineChars="0"/>
              <w:rPr>
                <w:rFonts w:hint="eastAsia" w:ascii="宋体" w:hAnsi="宋体"/>
                <w:lang w:val="en-US"/>
              </w:rPr>
            </w:pPr>
            <w:r>
              <w:rPr>
                <w:rFonts w:hint="eastAsia" w:ascii="宋体" w:hAnsi="宋体"/>
                <w:lang w:val="en-US"/>
              </w:rPr>
              <w:t>东经：</w:t>
            </w:r>
            <w:bookmarkStart w:id="16" w:name="经度"/>
            <w:r>
              <w:t>112.98</w:t>
            </w:r>
            <w:bookmarkEnd w:id="16"/>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hint="eastAsia" w:ascii="宋体" w:hAnsi="宋体"/>
                <w:lang w:val="en-US"/>
              </w:rPr>
            </w:pPr>
            <w:bookmarkStart w:id="17" w:name="气候区"/>
            <w:r>
              <w:t>IIIB</w:t>
            </w:r>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pPr>
              <w:pStyle w:val="3"/>
              <w:ind w:firstLine="0" w:firstLineChars="0"/>
              <w:rPr>
                <w:rFonts w:hint="eastAsia" w:ascii="宋体" w:hAnsi="宋体"/>
                <w:lang w:val="en-US"/>
              </w:rPr>
            </w:pPr>
            <w:bookmarkStart w:id="18" w:name="主导风向"/>
            <w:r>
              <w:t>南</w:t>
            </w:r>
            <w:bookmarkEnd w:id="18"/>
          </w:p>
        </w:tc>
      </w:tr>
    </w:tbl>
    <w:p>
      <w:pPr>
        <w:pStyle w:val="3"/>
        <w:ind w:firstLine="420"/>
        <w:rPr>
          <w:lang w:val="en-US"/>
        </w:rPr>
      </w:pPr>
    </w:p>
    <w:p>
      <w:pPr>
        <w:pStyle w:val="3"/>
        <w:ind w:firstLine="0" w:firstLineChars="0"/>
        <w:jc w:val="center"/>
        <w:rPr>
          <w:lang w:val="en-US"/>
        </w:rPr>
      </w:pPr>
      <w:bookmarkStart w:id="19" w:name="总图鸟瞰图"/>
      <w:bookmarkEnd w:id="19"/>
      <w:r>
        <w:drawing>
          <wp:inline distT="0" distB="0" distL="0" distR="0">
            <wp:extent cx="5667375" cy="3657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pPr>
        <w:pStyle w:val="3"/>
        <w:ind w:firstLine="0" w:firstLineChars="0"/>
        <w:rPr>
          <w:lang w:val="en-US"/>
        </w:rPr>
      </w:pPr>
    </w:p>
    <w:p>
      <w:pPr>
        <w:pStyle w:val="3"/>
        <w:ind w:firstLine="0" w:firstLineChars="0"/>
        <w:jc w:val="center"/>
        <w:rPr>
          <w:lang w:val="en-US"/>
        </w:rPr>
      </w:pPr>
      <w:bookmarkStart w:id="22" w:name="总图平面图"/>
      <w:bookmarkEnd w:id="22"/>
      <w:r>
        <w:drawing>
          <wp:inline distT="0" distB="0" distL="0" distR="0">
            <wp:extent cx="5667375" cy="3657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3" w:name="_Toc14935"/>
      <w:bookmarkStart w:id="24" w:name="TitleFormat"/>
      <w:r>
        <w:rPr>
          <w:rFonts w:hint="eastAsia"/>
        </w:rPr>
        <w:t>设计依据</w:t>
      </w:r>
      <w:bookmarkEnd w:id="23"/>
    </w:p>
    <w:p>
      <w:pPr>
        <w:widowControl w:val="0"/>
        <w:spacing w:line="360" w:lineRule="auto"/>
        <w:jc w:val="both"/>
        <w:rPr>
          <w:kern w:val="2"/>
          <w:szCs w:val="24"/>
          <w:lang w:val="en-US"/>
        </w:rPr>
      </w:pPr>
      <w:bookmarkStart w:id="25" w:name="计算依据"/>
      <w:r>
        <w:t>1. 湖南省《绿色建筑评价标准》DBJ 43T-2020</w:t>
      </w:r>
      <w:r>
        <w:br w:type="textWrapping"/>
      </w:r>
      <w:r>
        <w:t>2. 《城市居住区热环境设计标准》JGJ 286-2013</w:t>
      </w:r>
      <w:r>
        <w:br w:type="textWrapping"/>
      </w:r>
      <w:r>
        <w:t>3. 《住宅项目规范》GB 55038–2025</w:t>
      </w:r>
      <w:bookmarkEnd w:id="24"/>
      <w:bookmarkEnd w:id="25"/>
    </w:p>
    <w:p>
      <w:pPr>
        <w:pStyle w:val="2"/>
      </w:pPr>
      <w:bookmarkStart w:id="26" w:name="_Toc31633"/>
      <w:r>
        <w:rPr>
          <w:rFonts w:hint="eastAsia"/>
        </w:rPr>
        <w:t>计算规定</w:t>
      </w:r>
      <w:bookmarkEnd w:id="26"/>
    </w:p>
    <w:p>
      <w:pPr>
        <w:pStyle w:val="4"/>
      </w:pPr>
      <w:bookmarkStart w:id="27" w:name="_Toc16494771"/>
      <w:bookmarkStart w:id="28" w:name="_Toc21112"/>
      <w:r>
        <w:rPr>
          <w:rFonts w:hint="eastAsia"/>
        </w:rPr>
        <w:t>评价性设计</w:t>
      </w:r>
      <w:bookmarkEnd w:id="27"/>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20659"/>
      <w:r>
        <w:rPr>
          <w:rFonts w:hint="eastAsia"/>
        </w:rPr>
        <w:t>计算方法</w:t>
      </w:r>
      <w:bookmarkEnd w:id="29"/>
    </w:p>
    <w:p>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1" w:name="_Toc5405"/>
      <w:r>
        <w:rPr>
          <w:rFonts w:hint="eastAsia"/>
        </w:rPr>
        <w:t>计算参数</w:t>
      </w:r>
      <w:bookmarkEnd w:id="31"/>
    </w:p>
    <w:p>
      <w:pPr>
        <w:pStyle w:val="4"/>
      </w:pPr>
      <w:bookmarkStart w:id="32" w:name="_Toc29372"/>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0</w:t>
            </w:r>
          </w:p>
        </w:tc>
        <w:tc>
          <w:tcPr>
            <w:vAlign w:val="center"/>
          </w:tcPr>
          <w:p>
            <w:pPr>
              <w:jc w:val="center"/>
            </w:pPr>
            <w:r>
              <w:t>27.3</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restart"/>
            <w:vAlign w:val="center"/>
          </w:tcPr>
          <w:p>
            <w:pPr>
              <w:jc w:val="center"/>
            </w:pPr>
            <w:r>
              <w:t>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w:t>
            </w:r>
          </w:p>
        </w:tc>
        <w:tc>
          <w:tcPr>
            <w:vAlign w:val="center"/>
          </w:tcPr>
          <w:p>
            <w:pPr>
              <w:jc w:val="center"/>
            </w:pPr>
            <w:r>
              <w:t>26.9</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w:t>
            </w:r>
          </w:p>
        </w:tc>
        <w:tc>
          <w:tcPr>
            <w:vAlign w:val="center"/>
          </w:tcPr>
          <w:p>
            <w:pPr>
              <w:jc w:val="center"/>
            </w:pPr>
            <w:r>
              <w:t>26.7</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3</w:t>
            </w:r>
          </w:p>
        </w:tc>
        <w:tc>
          <w:tcPr>
            <w:vAlign w:val="center"/>
          </w:tcPr>
          <w:p>
            <w:pPr>
              <w:jc w:val="center"/>
            </w:pPr>
            <w:r>
              <w:t>26.3</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4</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5</w:t>
            </w:r>
          </w:p>
        </w:tc>
        <w:tc>
          <w:tcPr>
            <w:vAlign w:val="center"/>
          </w:tcPr>
          <w:p>
            <w:pPr>
              <w:jc w:val="center"/>
            </w:pPr>
            <w:r>
              <w:t>26.0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6</w:t>
            </w:r>
          </w:p>
        </w:tc>
        <w:tc>
          <w:tcPr>
            <w:vAlign w:val="center"/>
          </w:tcPr>
          <w:p>
            <w:pPr>
              <w:jc w:val="center"/>
            </w:pPr>
            <w:r>
              <w:t>26.2</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7</w:t>
            </w:r>
          </w:p>
        </w:tc>
        <w:tc>
          <w:tcPr>
            <w:vAlign w:val="center"/>
          </w:tcPr>
          <w:p>
            <w:pPr>
              <w:jc w:val="center"/>
            </w:pPr>
            <w:r>
              <w:t>26.6</w:t>
            </w:r>
          </w:p>
        </w:tc>
        <w:tc>
          <w:tcPr>
            <w:vAlign w:val="center"/>
          </w:tcPr>
          <w:p>
            <w:pPr>
              <w:jc w:val="center"/>
            </w:pPr>
            <w:r>
              <w:t>85</w:t>
            </w:r>
          </w:p>
        </w:tc>
        <w:tc>
          <w:tcPr>
            <w:vAlign w:val="center"/>
          </w:tcPr>
          <w:p>
            <w:pPr>
              <w:jc w:val="center"/>
            </w:pPr>
            <w:r>
              <w:t>92.00</w:t>
            </w:r>
          </w:p>
        </w:tc>
        <w:tc>
          <w:tcPr>
            <w:vAlign w:val="center"/>
          </w:tcPr>
          <w:p>
            <w:pPr>
              <w:jc w:val="center"/>
            </w:pPr>
            <w:r>
              <w:t>65.00</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8</w:t>
            </w:r>
          </w:p>
        </w:tc>
        <w:tc>
          <w:tcPr>
            <w:vAlign w:val="center"/>
          </w:tcPr>
          <w:p>
            <w:pPr>
              <w:jc w:val="center"/>
            </w:pPr>
            <w:r>
              <w:t>27.3</w:t>
            </w:r>
          </w:p>
        </w:tc>
        <w:tc>
          <w:tcPr>
            <w:vAlign w:val="center"/>
          </w:tcPr>
          <w:p>
            <w:pPr>
              <w:jc w:val="center"/>
            </w:pPr>
            <w:r>
              <w:t>82</w:t>
            </w:r>
          </w:p>
        </w:tc>
        <w:tc>
          <w:tcPr>
            <w:vAlign w:val="center"/>
          </w:tcPr>
          <w:p>
            <w:pPr>
              <w:jc w:val="center"/>
            </w:pPr>
            <w:r>
              <w:t>214.00</w:t>
            </w:r>
          </w:p>
        </w:tc>
        <w:tc>
          <w:tcPr>
            <w:vAlign w:val="center"/>
          </w:tcPr>
          <w:p>
            <w:pPr>
              <w:jc w:val="center"/>
            </w:pPr>
            <w:r>
              <w:t>145.00</w:t>
            </w:r>
          </w:p>
        </w:tc>
        <w:tc>
          <w:tcPr>
            <w:vAlign w:val="center"/>
          </w:tcPr>
          <w:p>
            <w:pPr>
              <w:jc w:val="center"/>
            </w:pPr>
            <w:r>
              <w:t>2.1</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9</w:t>
            </w:r>
          </w:p>
        </w:tc>
        <w:tc>
          <w:tcPr>
            <w:vAlign w:val="center"/>
          </w:tcPr>
          <w:p>
            <w:pPr>
              <w:jc w:val="center"/>
            </w:pPr>
            <w:r>
              <w:t>28.4</w:t>
            </w:r>
          </w:p>
        </w:tc>
        <w:tc>
          <w:tcPr>
            <w:vAlign w:val="center"/>
          </w:tcPr>
          <w:p>
            <w:pPr>
              <w:jc w:val="center"/>
            </w:pPr>
            <w:r>
              <w:t>78</w:t>
            </w:r>
          </w:p>
        </w:tc>
        <w:tc>
          <w:tcPr>
            <w:vAlign w:val="center"/>
          </w:tcPr>
          <w:p>
            <w:pPr>
              <w:jc w:val="center"/>
            </w:pPr>
            <w:r>
              <w:t>366.00</w:t>
            </w:r>
          </w:p>
        </w:tc>
        <w:tc>
          <w:tcPr>
            <w:vAlign w:val="center"/>
          </w:tcPr>
          <w:p>
            <w:pPr>
              <w:jc w:val="center"/>
            </w:pPr>
            <w:r>
              <w:t>220.00</w:t>
            </w:r>
          </w:p>
        </w:tc>
        <w:tc>
          <w:tcPr>
            <w:vAlign w:val="center"/>
          </w:tcPr>
          <w:p>
            <w:pPr>
              <w:jc w:val="center"/>
            </w:pPr>
            <w:r>
              <w:t>2.5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10</w:t>
            </w:r>
          </w:p>
        </w:tc>
        <w:tc>
          <w:tcPr>
            <w:vAlign w:val="center"/>
          </w:tcPr>
          <w:p>
            <w:pPr>
              <w:jc w:val="center"/>
            </w:pPr>
            <w:r>
              <w:t>29.5</w:t>
            </w:r>
          </w:p>
        </w:tc>
        <w:tc>
          <w:tcPr>
            <w:vAlign w:val="center"/>
          </w:tcPr>
          <w:p>
            <w:pPr>
              <w:jc w:val="center"/>
            </w:pPr>
            <w:r>
              <w:t>73</w:t>
            </w:r>
          </w:p>
        </w:tc>
        <w:tc>
          <w:tcPr>
            <w:vAlign w:val="center"/>
          </w:tcPr>
          <w:p>
            <w:pPr>
              <w:jc w:val="center"/>
            </w:pPr>
            <w:r>
              <w:t>504.00</w:t>
            </w:r>
          </w:p>
        </w:tc>
        <w:tc>
          <w:tcPr>
            <w:vAlign w:val="center"/>
          </w:tcPr>
          <w:p>
            <w:pPr>
              <w:jc w:val="center"/>
            </w:pPr>
            <w:r>
              <w:t>266.00</w:t>
            </w:r>
          </w:p>
        </w:tc>
        <w:tc>
          <w:tcPr>
            <w:vAlign w:val="center"/>
          </w:tcPr>
          <w:p>
            <w:pPr>
              <w:jc w:val="center"/>
            </w:pPr>
            <w:r>
              <w:t>2.8</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11</w:t>
            </w:r>
          </w:p>
        </w:tc>
        <w:tc>
          <w:tcPr>
            <w:vAlign w:val="center"/>
          </w:tcPr>
          <w:p>
            <w:pPr>
              <w:jc w:val="center"/>
            </w:pPr>
            <w:r>
              <w:t>30.4</w:t>
            </w:r>
          </w:p>
        </w:tc>
        <w:tc>
          <w:tcPr>
            <w:vAlign w:val="center"/>
          </w:tcPr>
          <w:p>
            <w:pPr>
              <w:jc w:val="center"/>
            </w:pPr>
            <w:r>
              <w:t>69</w:t>
            </w:r>
          </w:p>
        </w:tc>
        <w:tc>
          <w:tcPr>
            <w:vAlign w:val="center"/>
          </w:tcPr>
          <w:p>
            <w:pPr>
              <w:jc w:val="center"/>
            </w:pPr>
            <w:r>
              <w:t>612.00</w:t>
            </w:r>
          </w:p>
        </w:tc>
        <w:tc>
          <w:tcPr>
            <w:vAlign w:val="center"/>
          </w:tcPr>
          <w:p>
            <w:pPr>
              <w:jc w:val="center"/>
            </w:pPr>
            <w:r>
              <w:t>307.00</w:t>
            </w:r>
          </w:p>
        </w:tc>
        <w:tc>
          <w:tcPr>
            <w:vAlign w:val="center"/>
          </w:tcPr>
          <w:p>
            <w:pPr>
              <w:jc w:val="center"/>
            </w:pPr>
            <w:r>
              <w:t>3.1</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12</w:t>
            </w:r>
          </w:p>
        </w:tc>
        <w:tc>
          <w:tcPr>
            <w:vAlign w:val="center"/>
          </w:tcPr>
          <w:p>
            <w:pPr>
              <w:jc w:val="center"/>
            </w:pPr>
            <w:r>
              <w:t>31.2</w:t>
            </w:r>
          </w:p>
        </w:tc>
        <w:tc>
          <w:tcPr>
            <w:vAlign w:val="center"/>
          </w:tcPr>
          <w:p>
            <w:pPr>
              <w:jc w:val="center"/>
            </w:pPr>
            <w:r>
              <w:t>66</w:t>
            </w:r>
          </w:p>
        </w:tc>
        <w:tc>
          <w:tcPr>
            <w:vAlign w:val="center"/>
          </w:tcPr>
          <w:p>
            <w:pPr>
              <w:jc w:val="center"/>
            </w:pPr>
            <w:r>
              <w:t>674.00</w:t>
            </w:r>
          </w:p>
        </w:tc>
        <w:tc>
          <w:tcPr>
            <w:vAlign w:val="center"/>
          </w:tcPr>
          <w:p>
            <w:pPr>
              <w:jc w:val="center"/>
            </w:pPr>
            <w:r>
              <w:t>317.00</w:t>
            </w:r>
          </w:p>
        </w:tc>
        <w:tc>
          <w:tcPr>
            <w:vAlign w:val="center"/>
          </w:tcPr>
          <w:p>
            <w:pPr>
              <w:jc w:val="center"/>
            </w:pPr>
            <w:r>
              <w:t>3.3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13</w:t>
            </w:r>
          </w:p>
        </w:tc>
        <w:tc>
          <w:tcPr>
            <w:vAlign w:val="center"/>
          </w:tcPr>
          <w:p>
            <w:pPr>
              <w:jc w:val="center"/>
            </w:pPr>
            <w:r>
              <w:t>31.7</w:t>
            </w:r>
          </w:p>
        </w:tc>
        <w:tc>
          <w:tcPr>
            <w:vAlign w:val="center"/>
          </w:tcPr>
          <w:p>
            <w:pPr>
              <w:jc w:val="center"/>
            </w:pPr>
            <w:r>
              <w:t>65</w:t>
            </w:r>
          </w:p>
        </w:tc>
        <w:tc>
          <w:tcPr>
            <w:vAlign w:val="center"/>
          </w:tcPr>
          <w:p>
            <w:pPr>
              <w:jc w:val="center"/>
            </w:pPr>
            <w:r>
              <w:t>662.00</w:t>
            </w:r>
          </w:p>
        </w:tc>
        <w:tc>
          <w:tcPr>
            <w:vAlign w:val="center"/>
          </w:tcPr>
          <w:p>
            <w:pPr>
              <w:jc w:val="center"/>
            </w:pPr>
            <w:r>
              <w:t>320.00</w:t>
            </w:r>
          </w:p>
        </w:tc>
        <w:tc>
          <w:tcPr>
            <w:vAlign w:val="center"/>
          </w:tcPr>
          <w:p>
            <w:pPr>
              <w:jc w:val="center"/>
            </w:pPr>
            <w:r>
              <w:t>3.4</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14</w:t>
            </w:r>
          </w:p>
        </w:tc>
        <w:tc>
          <w:tcPr>
            <w:vAlign w:val="center"/>
          </w:tcPr>
          <w:p>
            <w:pPr>
              <w:jc w:val="center"/>
            </w:pPr>
            <w:r>
              <w:t>32.0</w:t>
            </w:r>
          </w:p>
        </w:tc>
        <w:tc>
          <w:tcPr>
            <w:vAlign w:val="center"/>
          </w:tcPr>
          <w:p>
            <w:pPr>
              <w:jc w:val="center"/>
            </w:pPr>
            <w:r>
              <w:t>63</w:t>
            </w:r>
          </w:p>
        </w:tc>
        <w:tc>
          <w:tcPr>
            <w:vAlign w:val="center"/>
          </w:tcPr>
          <w:p>
            <w:pPr>
              <w:jc w:val="center"/>
            </w:pPr>
            <w:r>
              <w:t>604.00</w:t>
            </w:r>
          </w:p>
        </w:tc>
        <w:tc>
          <w:tcPr>
            <w:vAlign w:val="center"/>
          </w:tcPr>
          <w:p>
            <w:pPr>
              <w:jc w:val="center"/>
            </w:pPr>
            <w:r>
              <w:t>318.00</w:t>
            </w:r>
          </w:p>
        </w:tc>
        <w:tc>
          <w:tcPr>
            <w:vAlign w:val="center"/>
          </w:tcPr>
          <w:p>
            <w:pPr>
              <w:jc w:val="center"/>
            </w:pPr>
            <w:r>
              <w:t>3.6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15</w:t>
            </w:r>
          </w:p>
        </w:tc>
        <w:tc>
          <w:tcPr>
            <w:vAlign w:val="center"/>
          </w:tcPr>
          <w:p>
            <w:pPr>
              <w:jc w:val="center"/>
            </w:pPr>
            <w:r>
              <w:t>32.2</w:t>
            </w:r>
          </w:p>
        </w:tc>
        <w:tc>
          <w:tcPr>
            <w:vAlign w:val="center"/>
          </w:tcPr>
          <w:p>
            <w:pPr>
              <w:jc w:val="center"/>
            </w:pPr>
            <w:r>
              <w:t>63</w:t>
            </w:r>
          </w:p>
        </w:tc>
        <w:tc>
          <w:tcPr>
            <w:vAlign w:val="center"/>
          </w:tcPr>
          <w:p>
            <w:pPr>
              <w:jc w:val="center"/>
            </w:pPr>
            <w:r>
              <w:t>522.00</w:t>
            </w:r>
          </w:p>
        </w:tc>
        <w:tc>
          <w:tcPr>
            <w:vAlign w:val="center"/>
          </w:tcPr>
          <w:p>
            <w:pPr>
              <w:jc w:val="center"/>
            </w:pPr>
            <w:r>
              <w:t>279.00</w:t>
            </w:r>
          </w:p>
        </w:tc>
        <w:tc>
          <w:tcPr>
            <w:vAlign w:val="center"/>
          </w:tcPr>
          <w:p>
            <w:pPr>
              <w:jc w:val="center"/>
            </w:pPr>
            <w:r>
              <w:t>3.4</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16</w:t>
            </w:r>
          </w:p>
        </w:tc>
        <w:tc>
          <w:tcPr>
            <w:vAlign w:val="center"/>
          </w:tcPr>
          <w:p>
            <w:pPr>
              <w:jc w:val="center"/>
            </w:pPr>
            <w:r>
              <w:t>32.2</w:t>
            </w:r>
          </w:p>
        </w:tc>
        <w:tc>
          <w:tcPr>
            <w:vAlign w:val="center"/>
          </w:tcPr>
          <w:p>
            <w:pPr>
              <w:jc w:val="center"/>
            </w:pPr>
            <w:r>
              <w:t>63</w:t>
            </w:r>
          </w:p>
        </w:tc>
        <w:tc>
          <w:tcPr>
            <w:vAlign w:val="center"/>
          </w:tcPr>
          <w:p>
            <w:pPr>
              <w:jc w:val="center"/>
            </w:pPr>
            <w:r>
              <w:t>401.00</w:t>
            </w:r>
          </w:p>
        </w:tc>
        <w:tc>
          <w:tcPr>
            <w:vAlign w:val="center"/>
          </w:tcPr>
          <w:p>
            <w:pPr>
              <w:jc w:val="center"/>
            </w:pPr>
            <w:r>
              <w:t>213.00</w:t>
            </w:r>
          </w:p>
        </w:tc>
        <w:tc>
          <w:tcPr>
            <w:vAlign w:val="center"/>
          </w:tcPr>
          <w:p>
            <w:pPr>
              <w:jc w:val="center"/>
            </w:pPr>
            <w:r>
              <w:t>3.3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17</w:t>
            </w:r>
          </w:p>
        </w:tc>
        <w:tc>
          <w:tcPr>
            <w:vAlign w:val="center"/>
          </w:tcPr>
          <w:p>
            <w:pPr>
              <w:jc w:val="center"/>
            </w:pPr>
            <w:r>
              <w:t>31.8</w:t>
            </w:r>
          </w:p>
        </w:tc>
        <w:tc>
          <w:tcPr>
            <w:vAlign w:val="center"/>
          </w:tcPr>
          <w:p>
            <w:pPr>
              <w:jc w:val="center"/>
            </w:pPr>
            <w:r>
              <w:t>64</w:t>
            </w:r>
          </w:p>
        </w:tc>
        <w:tc>
          <w:tcPr>
            <w:vAlign w:val="center"/>
          </w:tcPr>
          <w:p>
            <w:pPr>
              <w:jc w:val="center"/>
            </w:pPr>
            <w:r>
              <w:t>268.00</w:t>
            </w:r>
          </w:p>
        </w:tc>
        <w:tc>
          <w:tcPr>
            <w:vAlign w:val="center"/>
          </w:tcPr>
          <w:p>
            <w:pPr>
              <w:jc w:val="center"/>
            </w:pPr>
            <w:r>
              <w:t>149.00</w:t>
            </w:r>
          </w:p>
        </w:tc>
        <w:tc>
          <w:tcPr>
            <w:vAlign w:val="center"/>
          </w:tcPr>
          <w:p>
            <w:pPr>
              <w:jc w:val="center"/>
            </w:pPr>
            <w:r>
              <w:t>3.1</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18</w:t>
            </w:r>
          </w:p>
        </w:tc>
        <w:tc>
          <w:tcPr>
            <w:vAlign w:val="center"/>
          </w:tcPr>
          <w:p>
            <w:pPr>
              <w:jc w:val="center"/>
            </w:pPr>
            <w:r>
              <w:t>31.1</w:t>
            </w:r>
          </w:p>
        </w:tc>
        <w:tc>
          <w:tcPr>
            <w:vAlign w:val="center"/>
          </w:tcPr>
          <w:p>
            <w:pPr>
              <w:jc w:val="center"/>
            </w:pPr>
            <w:r>
              <w:t>67</w:t>
            </w:r>
          </w:p>
        </w:tc>
        <w:tc>
          <w:tcPr>
            <w:vAlign w:val="center"/>
          </w:tcPr>
          <w:p>
            <w:pPr>
              <w:jc w:val="center"/>
            </w:pPr>
            <w:r>
              <w:t>126.00</w:t>
            </w:r>
          </w:p>
        </w:tc>
        <w:tc>
          <w:tcPr>
            <w:vAlign w:val="center"/>
          </w:tcPr>
          <w:p>
            <w:pPr>
              <w:jc w:val="center"/>
            </w:pPr>
            <w:r>
              <w:t>78.00</w:t>
            </w:r>
          </w:p>
        </w:tc>
        <w:tc>
          <w:tcPr>
            <w:vAlign w:val="center"/>
          </w:tcPr>
          <w:p>
            <w:pPr>
              <w:jc w:val="center"/>
            </w:pPr>
            <w:r>
              <w:t>2.8</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19</w:t>
            </w:r>
          </w:p>
        </w:tc>
        <w:tc>
          <w:tcPr>
            <w:vAlign w:val="center"/>
          </w:tcPr>
          <w:p>
            <w:pPr>
              <w:jc w:val="center"/>
            </w:pPr>
            <w:r>
              <w:t>30.2</w:t>
            </w:r>
          </w:p>
        </w:tc>
        <w:tc>
          <w:tcPr>
            <w:vAlign w:val="center"/>
          </w:tcPr>
          <w:p>
            <w:pPr>
              <w:jc w:val="center"/>
            </w:pPr>
            <w:r>
              <w:t>71</w:t>
            </w:r>
          </w:p>
        </w:tc>
        <w:tc>
          <w:tcPr>
            <w:vAlign w:val="center"/>
          </w:tcPr>
          <w:p>
            <w:pPr>
              <w:jc w:val="center"/>
            </w:pPr>
            <w:r>
              <w:t>5.00</w:t>
            </w:r>
          </w:p>
        </w:tc>
        <w:tc>
          <w:tcPr>
            <w:vAlign w:val="center"/>
          </w:tcPr>
          <w:p>
            <w:pPr>
              <w:jc w:val="center"/>
            </w:pPr>
            <w:r>
              <w:t>5.00</w:t>
            </w:r>
          </w:p>
        </w:tc>
        <w:tc>
          <w:tcPr>
            <w:vAlign w:val="center"/>
          </w:tcPr>
          <w:p>
            <w:pPr>
              <w:jc w:val="center"/>
            </w:pPr>
            <w:r>
              <w:t>2.4</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20</w:t>
            </w:r>
          </w:p>
        </w:tc>
        <w:tc>
          <w:tcPr>
            <w:vAlign w:val="center"/>
          </w:tcPr>
          <w:p>
            <w:pPr>
              <w:jc w:val="center"/>
            </w:pPr>
            <w:r>
              <w:t>29.3</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21</w:t>
            </w:r>
          </w:p>
        </w:tc>
        <w:tc>
          <w:tcPr>
            <w:vAlign w:val="center"/>
          </w:tcPr>
          <w:p>
            <w:pPr>
              <w:jc w:val="center"/>
            </w:pPr>
            <w:r>
              <w:t>28.5</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22</w:t>
            </w:r>
          </w:p>
        </w:tc>
        <w:tc>
          <w:tcPr>
            <w:vAlign w:val="center"/>
          </w:tcPr>
          <w:p>
            <w:pPr>
              <w:jc w:val="center"/>
            </w:pPr>
            <w:r>
              <w:t>27.9</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1.9</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23</w:t>
            </w:r>
          </w:p>
        </w:tc>
        <w:tc>
          <w:tcPr>
            <w:vAlign w:val="center"/>
          </w:tcPr>
          <w:p>
            <w:pPr>
              <w:jc w:val="center"/>
            </w:pPr>
            <w:r>
              <w:t>27.6</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日平均</w:t>
            </w:r>
          </w:p>
        </w:tc>
        <w:tc>
          <w:tcPr>
            <w:vAlign w:val="center"/>
          </w:tcPr>
          <w:p>
            <w:pPr>
              <w:jc w:val="center"/>
            </w:pPr>
            <w:r>
              <w:t>28.9</w:t>
            </w:r>
          </w:p>
        </w:tc>
        <w:tc>
          <w:tcPr>
            <w:vAlign w:val="center"/>
          </w:tcPr>
          <w:p>
            <w:pPr>
              <w:jc w:val="center"/>
            </w:pPr>
            <w:r>
              <w:t>76</w:t>
            </w:r>
          </w:p>
        </w:tc>
        <w:tc>
          <w:tcPr>
            <w:vAlign w:val="center"/>
          </w:tcPr>
          <w:p>
            <w:pPr>
              <w:jc w:val="center"/>
            </w:pPr>
            <w:r>
              <w:t>210.42</w:t>
            </w:r>
          </w:p>
        </w:tc>
        <w:tc>
          <w:tcPr>
            <w:vAlign w:val="center"/>
          </w:tcPr>
          <w:p>
            <w:pPr>
              <w:jc w:val="center"/>
            </w:pPr>
            <w:r>
              <w:t>111.75</w:t>
            </w:r>
          </w:p>
        </w:tc>
        <w:tc>
          <w:tcPr>
            <w:vAlign w:val="center"/>
          </w:tcPr>
          <w:p>
            <w:pPr>
              <w:jc w:val="center"/>
            </w:pPr>
            <w:r>
              <w:t>2.4</w:t>
            </w:r>
          </w:p>
        </w:tc>
        <w:tc>
          <w:tcPr>
            <w:vMerge w:val="continue"/>
            <w:vAlign w:val="center"/>
          </w:tcPr>
          <w:p>
            <w:pPr>
              <w:jc w:val="center"/>
            </w:pPr>
          </w:p>
        </w:tc>
      </w:tr>
    </w:tbl>
    <w:p>
      <w:pPr>
        <w:pStyle w:val="3"/>
        <w:ind w:firstLine="0" w:firstLineChars="0"/>
        <w:rPr>
          <w:lang w:val="en-US"/>
        </w:rPr>
      </w:pPr>
      <w:bookmarkStart w:id="33" w:name="气象参数"/>
      <w:bookmarkEnd w:id="33"/>
    </w:p>
    <w:p>
      <w:pPr>
        <w:pStyle w:val="4"/>
      </w:pPr>
      <w:bookmarkStart w:id="34" w:name="_Toc24766"/>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5" w:name="蒸发量参数"/>
      <w:bookmarkEnd w:id="35"/>
    </w:p>
    <w:p>
      <w:pPr>
        <w:pStyle w:val="2"/>
      </w:pPr>
      <w:bookmarkStart w:id="36" w:name="_Toc11212"/>
      <w:r>
        <w:rPr>
          <w:rFonts w:hint="eastAsia"/>
        </w:rPr>
        <w:t>指标概览</w:t>
      </w:r>
      <w:bookmarkEnd w:id="36"/>
    </w:p>
    <w:p>
      <w:pPr>
        <w:pStyle w:val="4"/>
      </w:pPr>
      <w:bookmarkStart w:id="37" w:name="_Toc20053"/>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图书馆单体建模1</w:t>
            </w:r>
          </w:p>
        </w:tc>
        <w:tc>
          <w:tcPr>
            <w:vAlign w:val="center"/>
          </w:tcPr>
          <w:p>
            <w:r>
              <w:t>5855.9</w:t>
            </w:r>
          </w:p>
        </w:tc>
        <w:tc>
          <w:tcPr>
            <w:vAlign w:val="center"/>
          </w:tcPr>
          <w:p>
            <w:r>
              <w:t>54.0</w:t>
            </w:r>
          </w:p>
        </w:tc>
        <w:tc>
          <w:tcPr>
            <w:vAlign w:val="center"/>
          </w:tcPr>
          <w:p>
            <w:r>
              <w:t>5385.0</w:t>
            </w:r>
          </w:p>
        </w:tc>
        <w:tc>
          <w:tcPr>
            <w:vAlign w:val="center"/>
          </w:tcPr>
          <w:p>
            <w:r>
              <w:t>0.89</w:t>
            </w:r>
          </w:p>
        </w:tc>
        <w:tc>
          <w:tcPr>
            <w:vAlign w:val="center"/>
          </w:tcPr>
          <w:p>
            <w:r>
              <w:t>0.1</w:t>
            </w:r>
          </w:p>
        </w:tc>
      </w:tr>
    </w:tbl>
    <w:p>
      <w:pPr>
        <w:pStyle w:val="3"/>
        <w:ind w:firstLine="0" w:firstLineChars="0"/>
        <w:rPr>
          <w:lang w:val="en-US"/>
        </w:rPr>
      </w:pPr>
      <w:bookmarkStart w:id="38" w:name="建筑列表"/>
      <w:bookmarkEnd w:id="38"/>
    </w:p>
    <w:p>
      <w:pPr>
        <w:pStyle w:val="4"/>
      </w:pPr>
      <w:bookmarkStart w:id="39" w:name="_Toc21198"/>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地块面积(㎡)</w:t>
            </w:r>
          </w:p>
        </w:tc>
        <w:tc>
          <w:tcPr>
            <w:vAlign w:val="center"/>
          </w:tcPr>
          <w:p>
            <w:r>
              <w:t>23413.62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建筑密度</w:t>
            </w:r>
          </w:p>
        </w:tc>
        <w:tc>
          <w:tcPr>
            <w:vAlign w:val="center"/>
          </w:tcPr>
          <w:p>
            <w:r>
              <w:t>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室外面积(㎡)</w:t>
            </w:r>
          </w:p>
        </w:tc>
        <w:tc>
          <w:tcPr>
            <w:vAlign w:val="center"/>
          </w:tcPr>
          <w:p>
            <w:r>
              <w:t>17557.68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停车场面积(㎡)</w:t>
            </w:r>
          </w:p>
        </w:tc>
        <w:tc>
          <w:tcPr>
            <w:vAlign w:val="center"/>
          </w:tcPr>
          <w:p>
            <w:r>
              <w:t>2509.88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草地面积(㎡)</w:t>
            </w:r>
          </w:p>
        </w:tc>
        <w:tc>
          <w:tcPr>
            <w:vAlign w:val="center"/>
          </w:tcPr>
          <w:p>
            <w:r>
              <w:t>11050.88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水面面积(㎡)</w:t>
            </w:r>
          </w:p>
        </w:tc>
        <w:tc>
          <w:tcPr>
            <w:vAlign w:val="center"/>
          </w:tcPr>
          <w:p>
            <w:r>
              <w:t>18703.87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乔木面积(㎡)</w:t>
            </w:r>
          </w:p>
        </w:tc>
        <w:tc>
          <w:tcPr>
            <w:vAlign w:val="center"/>
          </w:tcPr>
          <w:p>
            <w:r>
              <w:t>3786.89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亭廊面积(㎡)</w:t>
            </w:r>
          </w:p>
        </w:tc>
        <w:tc>
          <w:tcPr>
            <w:vAlign w:val="center"/>
          </w:tcPr>
          <w:p>
            <w:r>
              <w:t>362.72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爬藤棚架面积(㎡)</w:t>
            </w:r>
          </w:p>
        </w:tc>
        <w:tc>
          <w:tcPr>
            <w:vAlign w:val="center"/>
          </w:tcPr>
          <w:p>
            <w:r>
              <w:t>3818.68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屋顶绿化面积(㎡)</w:t>
            </w:r>
          </w:p>
        </w:tc>
        <w:tc>
          <w:tcPr>
            <w:vAlign w:val="center"/>
          </w:tcPr>
          <w:p>
            <w:r>
              <w:t>7017.94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渗透性硬地面积(㎡)</w:t>
            </w:r>
          </w:p>
        </w:tc>
        <w:tc>
          <w:tcPr>
            <w:vAlign w:val="center"/>
          </w:tcPr>
          <w:p>
            <w:r>
              <w:t>2509.88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绿化遮阳覆盖率(%)</w:t>
            </w:r>
          </w:p>
        </w:tc>
        <w:tc>
          <w:tcPr>
            <w:vAlign w:val="center"/>
          </w:tcPr>
          <w:p>
            <w:r>
              <w:t>43.32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构筑物遮阳覆盖率(%)</w:t>
            </w:r>
          </w:p>
        </w:tc>
        <w:tc>
          <w:tcPr>
            <w:vAlign w:val="center"/>
          </w:tcPr>
          <w:p>
            <w:r>
              <w:t>2.07</w:t>
            </w:r>
          </w:p>
        </w:tc>
      </w:tr>
    </w:tbl>
    <w:p>
      <w:pPr>
        <w:pStyle w:val="3"/>
        <w:ind w:firstLine="0" w:firstLineChars="0"/>
        <w:rPr>
          <w:lang w:val="en-US"/>
        </w:rPr>
      </w:pPr>
      <w:bookmarkStart w:id="40" w:name="住区指标概览"/>
      <w:bookmarkEnd w:id="40"/>
    </w:p>
    <w:p>
      <w:pPr>
        <w:pStyle w:val="2"/>
      </w:pPr>
      <w:bookmarkStart w:id="41" w:name="_Toc16494783"/>
      <w:bookmarkStart w:id="42" w:name="_Toc23447"/>
      <w:r>
        <w:rPr>
          <w:rFonts w:hint="eastAsia"/>
        </w:rPr>
        <w:t>评价性设计</w:t>
      </w:r>
      <w:bookmarkEnd w:id="41"/>
      <w:bookmarkEnd w:id="42"/>
    </w:p>
    <w:p>
      <w:pPr>
        <w:pStyle w:val="4"/>
      </w:pPr>
      <w:bookmarkStart w:id="43" w:name="_Toc16494784"/>
      <w:bookmarkStart w:id="44" w:name="_Toc12112"/>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9:00</w:t>
            </w:r>
          </w:p>
        </w:tc>
        <w:tc>
          <w:tcPr>
            <w:vAlign w:val="center"/>
          </w:tcPr>
          <w:p>
            <w:r>
              <w:t>28.89</w:t>
            </w:r>
          </w:p>
        </w:tc>
        <w:tc>
          <w:tcPr>
            <w:vAlign w:val="center"/>
          </w:tcPr>
          <w:p>
            <w:r>
              <w:t>2.90</w:t>
            </w:r>
          </w:p>
        </w:tc>
        <w:tc>
          <w:tcPr>
            <w:vAlign w:val="center"/>
          </w:tcPr>
          <w:p>
            <w:r>
              <w:t>3.29</w:t>
            </w:r>
          </w:p>
        </w:tc>
        <w:tc>
          <w:tcPr>
            <w:vAlign w:val="center"/>
          </w:tcPr>
          <w:p>
            <w:r>
              <w:t>5.11</w:t>
            </w:r>
          </w:p>
        </w:tc>
        <w:tc>
          <w:tcPr>
            <w:vAlign w:val="center"/>
          </w:tcPr>
          <w:p>
            <w:r>
              <w:t>23.39</w:t>
            </w:r>
          </w:p>
        </w:tc>
        <w:tc>
          <w:tcPr>
            <w:vAlign w:val="center"/>
          </w:tcPr>
          <w:p>
            <w:r>
              <w:t>28.40</w:t>
            </w:r>
          </w:p>
        </w:tc>
        <w:tc>
          <w:tcPr>
            <w:vAlign w:val="center"/>
          </w:tcPr>
          <w:p>
            <w:r>
              <w:t>-5.01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10:00</w:t>
            </w:r>
          </w:p>
        </w:tc>
        <w:tc>
          <w:tcPr>
            <w:vAlign w:val="center"/>
          </w:tcPr>
          <w:p>
            <w:r>
              <w:t>28.89</w:t>
            </w:r>
          </w:p>
        </w:tc>
        <w:tc>
          <w:tcPr>
            <w:vAlign w:val="center"/>
          </w:tcPr>
          <w:p>
            <w:r>
              <w:t>4.94</w:t>
            </w:r>
          </w:p>
        </w:tc>
        <w:tc>
          <w:tcPr>
            <w:vAlign w:val="center"/>
          </w:tcPr>
          <w:p>
            <w:r>
              <w:t>3.24</w:t>
            </w:r>
          </w:p>
        </w:tc>
        <w:tc>
          <w:tcPr>
            <w:vAlign w:val="center"/>
          </w:tcPr>
          <w:p>
            <w:r>
              <w:t>5.76</w:t>
            </w:r>
          </w:p>
        </w:tc>
        <w:tc>
          <w:tcPr>
            <w:vAlign w:val="center"/>
          </w:tcPr>
          <w:p>
            <w:r>
              <w:t>24.83</w:t>
            </w:r>
          </w:p>
        </w:tc>
        <w:tc>
          <w:tcPr>
            <w:vAlign w:val="center"/>
          </w:tcPr>
          <w:p>
            <w:r>
              <w:t>29.50</w:t>
            </w:r>
          </w:p>
        </w:tc>
        <w:tc>
          <w:tcPr>
            <w:vAlign w:val="center"/>
          </w:tcPr>
          <w:p>
            <w:r>
              <w:t>-4.67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11:00</w:t>
            </w:r>
          </w:p>
        </w:tc>
        <w:tc>
          <w:tcPr>
            <w:vAlign w:val="center"/>
          </w:tcPr>
          <w:p>
            <w:r>
              <w:t>28.89</w:t>
            </w:r>
          </w:p>
        </w:tc>
        <w:tc>
          <w:tcPr>
            <w:vAlign w:val="center"/>
          </w:tcPr>
          <w:p>
            <w:r>
              <w:t>7.28</w:t>
            </w:r>
          </w:p>
        </w:tc>
        <w:tc>
          <w:tcPr>
            <w:vAlign w:val="center"/>
          </w:tcPr>
          <w:p>
            <w:r>
              <w:t>3.19</w:t>
            </w:r>
          </w:p>
        </w:tc>
        <w:tc>
          <w:tcPr>
            <w:vAlign w:val="center"/>
          </w:tcPr>
          <w:p>
            <w:r>
              <w:t>6.38</w:t>
            </w:r>
          </w:p>
        </w:tc>
        <w:tc>
          <w:tcPr>
            <w:vAlign w:val="center"/>
          </w:tcPr>
          <w:p>
            <w:r>
              <w:t>26.60</w:t>
            </w:r>
          </w:p>
        </w:tc>
        <w:tc>
          <w:tcPr>
            <w:vAlign w:val="center"/>
          </w:tcPr>
          <w:p>
            <w:r>
              <w:t>30.40</w:t>
            </w:r>
          </w:p>
        </w:tc>
        <w:tc>
          <w:tcPr>
            <w:vAlign w:val="center"/>
          </w:tcPr>
          <w:p>
            <w: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12:00</w:t>
            </w:r>
          </w:p>
        </w:tc>
        <w:tc>
          <w:tcPr>
            <w:vAlign w:val="center"/>
          </w:tcPr>
          <w:p>
            <w:r>
              <w:t>28.89</w:t>
            </w:r>
          </w:p>
        </w:tc>
        <w:tc>
          <w:tcPr>
            <w:vAlign w:val="center"/>
          </w:tcPr>
          <w:p>
            <w:r>
              <w:t>9.71</w:t>
            </w:r>
          </w:p>
        </w:tc>
        <w:tc>
          <w:tcPr>
            <w:vAlign w:val="center"/>
          </w:tcPr>
          <w:p>
            <w:r>
              <w:t>3.15</w:t>
            </w:r>
          </w:p>
        </w:tc>
        <w:tc>
          <w:tcPr>
            <w:vAlign w:val="center"/>
          </w:tcPr>
          <w:p>
            <w:r>
              <w:t>6.47</w:t>
            </w:r>
          </w:p>
        </w:tc>
        <w:tc>
          <w:tcPr>
            <w:vAlign w:val="center"/>
          </w:tcPr>
          <w:p>
            <w:r>
              <w:t>28.98</w:t>
            </w:r>
          </w:p>
        </w:tc>
        <w:tc>
          <w:tcPr>
            <w:vAlign w:val="center"/>
          </w:tcPr>
          <w:p>
            <w:r>
              <w:t>31.20</w:t>
            </w:r>
          </w:p>
        </w:tc>
        <w:tc>
          <w:tcPr>
            <w:vAlign w:val="center"/>
          </w:tcPr>
          <w:p>
            <w:r>
              <w:t>-2.22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13:00</w:t>
            </w:r>
          </w:p>
        </w:tc>
        <w:tc>
          <w:tcPr>
            <w:vAlign w:val="center"/>
          </w:tcPr>
          <w:p>
            <w:r>
              <w:t>28.89</w:t>
            </w:r>
          </w:p>
        </w:tc>
        <w:tc>
          <w:tcPr>
            <w:vAlign w:val="center"/>
          </w:tcPr>
          <w:p>
            <w:r>
              <w:t>11.79</w:t>
            </w:r>
          </w:p>
        </w:tc>
        <w:tc>
          <w:tcPr>
            <w:vAlign w:val="center"/>
          </w:tcPr>
          <w:p>
            <w:r>
              <w:t>3.10</w:t>
            </w:r>
          </w:p>
        </w:tc>
        <w:tc>
          <w:tcPr>
            <w:vAlign w:val="center"/>
          </w:tcPr>
          <w:p>
            <w:r>
              <w:t>5.89</w:t>
            </w:r>
          </w:p>
        </w:tc>
        <w:tc>
          <w:tcPr>
            <w:vAlign w:val="center"/>
          </w:tcPr>
          <w:p>
            <w:r>
              <w:t>31.69</w:t>
            </w:r>
          </w:p>
        </w:tc>
        <w:tc>
          <w:tcPr>
            <w:vAlign w:val="center"/>
          </w:tcPr>
          <w:p>
            <w:r>
              <w:t>31.70</w:t>
            </w:r>
          </w:p>
        </w:tc>
        <w:tc>
          <w:tcPr>
            <w:vAlign w:val="center"/>
          </w:tcPr>
          <w:p>
            <w: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14:00</w:t>
            </w:r>
          </w:p>
        </w:tc>
        <w:tc>
          <w:tcPr>
            <w:vAlign w:val="center"/>
          </w:tcPr>
          <w:p>
            <w:r>
              <w:t>28.89</w:t>
            </w:r>
          </w:p>
        </w:tc>
        <w:tc>
          <w:tcPr>
            <w:vAlign w:val="center"/>
          </w:tcPr>
          <w:p>
            <w:r>
              <w:t>13.39</w:t>
            </w:r>
          </w:p>
        </w:tc>
        <w:tc>
          <w:tcPr>
            <w:vAlign w:val="center"/>
          </w:tcPr>
          <w:p>
            <w:r>
              <w:t>3.09</w:t>
            </w:r>
          </w:p>
        </w:tc>
        <w:tc>
          <w:tcPr>
            <w:vAlign w:val="center"/>
          </w:tcPr>
          <w:p>
            <w:r>
              <w:t>5.07</w:t>
            </w:r>
          </w:p>
        </w:tc>
        <w:tc>
          <w:tcPr>
            <w:vAlign w:val="center"/>
          </w:tcPr>
          <w:p>
            <w:r>
              <w:t>34.12</w:t>
            </w:r>
          </w:p>
        </w:tc>
        <w:tc>
          <w:tcPr>
            <w:vAlign w:val="center"/>
          </w:tcPr>
          <w:p>
            <w:r>
              <w:t>32.00</w:t>
            </w:r>
          </w:p>
        </w:tc>
        <w:tc>
          <w:tcPr>
            <w:vAlign w:val="center"/>
          </w:tcPr>
          <w:p>
            <w: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15:00</w:t>
            </w:r>
          </w:p>
        </w:tc>
        <w:tc>
          <w:tcPr>
            <w:vAlign w:val="center"/>
          </w:tcPr>
          <w:p>
            <w:r>
              <w:t>28.89</w:t>
            </w:r>
          </w:p>
        </w:tc>
        <w:tc>
          <w:tcPr>
            <w:vAlign w:val="center"/>
          </w:tcPr>
          <w:p>
            <w:r>
              <w:t>14.48</w:t>
            </w:r>
          </w:p>
        </w:tc>
        <w:tc>
          <w:tcPr>
            <w:vAlign w:val="center"/>
          </w:tcPr>
          <w:p>
            <w:r>
              <w:t>3.12</w:t>
            </w:r>
          </w:p>
        </w:tc>
        <w:tc>
          <w:tcPr>
            <w:vAlign w:val="center"/>
          </w:tcPr>
          <w:p>
            <w:r>
              <w:t>4.31</w:t>
            </w:r>
          </w:p>
        </w:tc>
        <w:tc>
          <w:tcPr>
            <w:vAlign w:val="center"/>
          </w:tcPr>
          <w:p>
            <w:r>
              <w:t>35.93</w:t>
            </w:r>
          </w:p>
        </w:tc>
        <w:tc>
          <w:tcPr>
            <w:vAlign w:val="center"/>
          </w:tcPr>
          <w:p>
            <w:r>
              <w:t>32.20</w:t>
            </w:r>
          </w:p>
        </w:tc>
        <w:tc>
          <w:tcPr>
            <w:vAlign w:val="center"/>
          </w:tcPr>
          <w:p>
            <w:r>
              <w:t>3.73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16:00</w:t>
            </w:r>
          </w:p>
        </w:tc>
        <w:tc>
          <w:tcPr>
            <w:vAlign w:val="center"/>
          </w:tcPr>
          <w:p>
            <w:r>
              <w:t>28.89</w:t>
            </w:r>
          </w:p>
        </w:tc>
        <w:tc>
          <w:tcPr>
            <w:vAlign w:val="center"/>
          </w:tcPr>
          <w:p>
            <w:r>
              <w:t>14.92</w:t>
            </w:r>
          </w:p>
        </w:tc>
        <w:tc>
          <w:tcPr>
            <w:vAlign w:val="center"/>
          </w:tcPr>
          <w:p>
            <w:r>
              <w:t>3.16</w:t>
            </w:r>
          </w:p>
        </w:tc>
        <w:tc>
          <w:tcPr>
            <w:vAlign w:val="center"/>
          </w:tcPr>
          <w:p>
            <w:r>
              <w:t>3.31</w:t>
            </w:r>
          </w:p>
        </w:tc>
        <w:tc>
          <w:tcPr>
            <w:vAlign w:val="center"/>
          </w:tcPr>
          <w:p>
            <w:r>
              <w:t>37.34</w:t>
            </w:r>
          </w:p>
        </w:tc>
        <w:tc>
          <w:tcPr>
            <w:vAlign w:val="center"/>
          </w:tcPr>
          <w:p>
            <w:r>
              <w:t>32.20</w:t>
            </w: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17:00</w:t>
            </w:r>
          </w:p>
        </w:tc>
        <w:tc>
          <w:tcPr>
            <w:vAlign w:val="center"/>
          </w:tcPr>
          <w:p>
            <w:r>
              <w:t>28.89</w:t>
            </w:r>
          </w:p>
        </w:tc>
        <w:tc>
          <w:tcPr>
            <w:vAlign w:val="center"/>
          </w:tcPr>
          <w:p>
            <w:r>
              <w:t>14.76</w:t>
            </w:r>
          </w:p>
        </w:tc>
        <w:tc>
          <w:tcPr>
            <w:vAlign w:val="center"/>
          </w:tcPr>
          <w:p>
            <w:r>
              <w:t>3.23</w:t>
            </w:r>
          </w:p>
        </w:tc>
        <w:tc>
          <w:tcPr>
            <w:vAlign w:val="center"/>
          </w:tcPr>
          <w:p>
            <w:r>
              <w:t>2.22</w:t>
            </w:r>
          </w:p>
        </w:tc>
        <w:tc>
          <w:tcPr>
            <w:vAlign w:val="center"/>
          </w:tcPr>
          <w:p>
            <w:r>
              <w:t>38.19</w:t>
            </w:r>
          </w:p>
        </w:tc>
        <w:tc>
          <w:tcPr>
            <w:vAlign w:val="center"/>
          </w:tcPr>
          <w:p>
            <w:r>
              <w:t>31.80</w:t>
            </w:r>
          </w:p>
        </w:tc>
        <w:tc>
          <w:tcPr>
            <w:vAlign w:val="center"/>
          </w:tcPr>
          <w:p>
            <w:r>
              <w:t>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18:00</w:t>
            </w:r>
          </w:p>
        </w:tc>
        <w:tc>
          <w:tcPr>
            <w:vAlign w:val="center"/>
          </w:tcPr>
          <w:p>
            <w:r>
              <w:t>28.89</w:t>
            </w:r>
          </w:p>
        </w:tc>
        <w:tc>
          <w:tcPr>
            <w:vAlign w:val="center"/>
          </w:tcPr>
          <w:p>
            <w:r>
              <w:t>14.06</w:t>
            </w:r>
          </w:p>
        </w:tc>
        <w:tc>
          <w:tcPr>
            <w:vAlign w:val="center"/>
          </w:tcPr>
          <w:p>
            <w:r>
              <w:t>3.29</w:t>
            </w:r>
          </w:p>
        </w:tc>
        <w:tc>
          <w:tcPr>
            <w:vAlign w:val="center"/>
          </w:tcPr>
          <w:p>
            <w:r>
              <w:t>1.61</w:t>
            </w:r>
          </w:p>
        </w:tc>
        <w:tc>
          <w:tcPr>
            <w:vAlign w:val="center"/>
          </w:tcPr>
          <w:p>
            <w:r>
              <w:t>38.05</w:t>
            </w:r>
          </w:p>
        </w:tc>
        <w:tc>
          <w:tcPr>
            <w:vAlign w:val="center"/>
          </w:tcPr>
          <w:p>
            <w:r>
              <w:t>31.10</w:t>
            </w:r>
          </w:p>
        </w:tc>
        <w:tc>
          <w:tcPr>
            <w:vAlign w:val="center"/>
          </w:tcPr>
          <w:p>
            <w:r>
              <w:t>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19:00</w:t>
            </w:r>
          </w:p>
        </w:tc>
        <w:tc>
          <w:tcPr>
            <w:vAlign w:val="center"/>
          </w:tcPr>
          <w:p>
            <w:r>
              <w:t>28.89</w:t>
            </w:r>
          </w:p>
        </w:tc>
        <w:tc>
          <w:tcPr>
            <w:vAlign w:val="center"/>
          </w:tcPr>
          <w:p>
            <w:r>
              <w:t>12.99</w:t>
            </w:r>
          </w:p>
        </w:tc>
        <w:tc>
          <w:tcPr>
            <w:vAlign w:val="center"/>
          </w:tcPr>
          <w:p>
            <w:r>
              <w:t>3.38</w:t>
            </w:r>
          </w:p>
        </w:tc>
        <w:tc>
          <w:tcPr>
            <w:vAlign w:val="center"/>
          </w:tcPr>
          <w:p>
            <w:r>
              <w:t>1.21</w:t>
            </w:r>
          </w:p>
        </w:tc>
        <w:tc>
          <w:tcPr>
            <w:vAlign w:val="center"/>
          </w:tcPr>
          <w:p>
            <w:r>
              <w:t>37.29</w:t>
            </w:r>
          </w:p>
        </w:tc>
        <w:tc>
          <w:tcPr>
            <w:vAlign w:val="center"/>
          </w:tcPr>
          <w:p>
            <w:r>
              <w:t>30.20</w:t>
            </w:r>
          </w:p>
        </w:tc>
        <w:tc>
          <w:tcPr>
            <w:vAlign w:val="center"/>
          </w:tcPr>
          <w:p>
            <w:r>
              <w:t>7.09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平均热岛</w:t>
            </w:r>
            <w:r>
              <w:br w:type="textWrapping"/>
            </w:r>
            <w:r>
              <w:t>强度(℃)</w:t>
            </w:r>
          </w:p>
        </w:tc>
        <w:tc>
          <w:tcPr>
            <w:gridSpan w:val="7"/>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t>满足</w:t>
            </w:r>
          </w:p>
        </w:tc>
      </w:tr>
    </w:tbl>
    <w:p>
      <w:pPr>
        <w:pStyle w:val="3"/>
        <w:ind w:firstLine="0" w:firstLineChars="0"/>
        <w:rPr>
          <w:lang w:val="en-US"/>
        </w:rPr>
      </w:pPr>
      <w:bookmarkStart w:id="45" w:name="平均热岛强度"/>
      <w:bookmarkEnd w:id="45"/>
    </w:p>
    <w:p>
      <w:pPr>
        <w:pStyle w:val="3"/>
        <w:ind w:firstLine="0" w:firstLineChars="0"/>
        <w:rPr>
          <w:lang w:val="en-US"/>
        </w:rPr>
      </w:pPr>
      <w:bookmarkStart w:id="46" w:name="平均热岛强度图片"/>
      <w:bookmarkEnd w:id="46"/>
      <w:r>
        <w:drawing>
          <wp:inline distT="0" distB="0" distL="0" distR="0">
            <wp:extent cx="5667375" cy="2886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886075"/>
                    </a:xfrm>
                    <a:prstGeom prst="rect">
                      <a:avLst/>
                    </a:prstGeom>
                  </pic:spPr>
                </pic:pic>
              </a:graphicData>
            </a:graphic>
          </wp:inline>
        </w:drawing>
      </w:r>
    </w:p>
    <w:p>
      <w:pPr>
        <w:pStyle w:val="4"/>
      </w:pPr>
      <w:bookmarkStart w:id="47" w:name="_Toc16494785"/>
      <w:bookmarkStart w:id="48" w:name="_Toc6108"/>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9:00</w:t>
            </w:r>
          </w:p>
        </w:tc>
        <w:tc>
          <w:tcPr>
            <w:vAlign w:val="center"/>
          </w:tcPr>
          <w:p>
            <w:r>
              <w:t>23.39</w:t>
            </w:r>
          </w:p>
        </w:tc>
        <w:tc>
          <w:tcPr>
            <w:vAlign w:val="center"/>
          </w:tcPr>
          <w:p>
            <w:r>
              <w:t>1.05</w:t>
            </w:r>
          </w:p>
        </w:tc>
        <w:tc>
          <w:tcPr>
            <w:vAlign w:val="center"/>
          </w:tcPr>
          <w:p>
            <w:r>
              <w:t>276.22</w:t>
            </w:r>
          </w:p>
        </w:tc>
        <w:tc>
          <w:tcPr>
            <w:vAlign w:val="center"/>
          </w:tcPr>
          <w:p>
            <w:r>
              <w:t>34.94</w:t>
            </w:r>
          </w:p>
        </w:tc>
        <w:tc>
          <w:tcPr>
            <w:vAlign w:val="center"/>
          </w:tcPr>
          <w:p>
            <w:r>
              <w:t>25.54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10:00</w:t>
            </w:r>
          </w:p>
        </w:tc>
        <w:tc>
          <w:tcPr>
            <w:vAlign w:val="center"/>
          </w:tcPr>
          <w:p>
            <w:r>
              <w:t>24.83</w:t>
            </w:r>
          </w:p>
        </w:tc>
        <w:tc>
          <w:tcPr>
            <w:vAlign w:val="center"/>
          </w:tcPr>
          <w:p>
            <w:r>
              <w:t>0.96</w:t>
            </w:r>
          </w:p>
        </w:tc>
        <w:tc>
          <w:tcPr>
            <w:vAlign w:val="center"/>
          </w:tcPr>
          <w:p>
            <w:r>
              <w:t>387.39</w:t>
            </w:r>
          </w:p>
        </w:tc>
        <w:tc>
          <w:tcPr>
            <w:vAlign w:val="center"/>
          </w:tcPr>
          <w:p>
            <w:r>
              <w:t>49.00</w:t>
            </w:r>
          </w:p>
        </w:tc>
        <w:tc>
          <w:tcPr>
            <w:vAlign w:val="center"/>
          </w:tcPr>
          <w:p>
            <w:r>
              <w:t>25.95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11:00</w:t>
            </w:r>
          </w:p>
        </w:tc>
        <w:tc>
          <w:tcPr>
            <w:vAlign w:val="center"/>
          </w:tcPr>
          <w:p>
            <w:r>
              <w:t>26.60</w:t>
            </w:r>
          </w:p>
        </w:tc>
        <w:tc>
          <w:tcPr>
            <w:vAlign w:val="center"/>
          </w:tcPr>
          <w:p>
            <w:r>
              <w:t>0.86</w:t>
            </w:r>
          </w:p>
        </w:tc>
        <w:tc>
          <w:tcPr>
            <w:vAlign w:val="center"/>
          </w:tcPr>
          <w:p>
            <w:r>
              <w:t>477.27</w:t>
            </w:r>
          </w:p>
        </w:tc>
        <w:tc>
          <w:tcPr>
            <w:vAlign w:val="center"/>
          </w:tcPr>
          <w:p>
            <w:r>
              <w:t>60.37</w:t>
            </w:r>
          </w:p>
        </w:tc>
        <w:tc>
          <w:tcPr>
            <w:vAlign w:val="center"/>
          </w:tcPr>
          <w:p>
            <w:r>
              <w:t>26.51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12:00</w:t>
            </w:r>
          </w:p>
        </w:tc>
        <w:tc>
          <w:tcPr>
            <w:vAlign w:val="center"/>
          </w:tcPr>
          <w:p>
            <w:r>
              <w:t>28.98</w:t>
            </w:r>
          </w:p>
        </w:tc>
        <w:tc>
          <w:tcPr>
            <w:vAlign w:val="center"/>
          </w:tcPr>
          <w:p>
            <w:r>
              <w:t>0.75</w:t>
            </w:r>
          </w:p>
        </w:tc>
        <w:tc>
          <w:tcPr>
            <w:vAlign w:val="center"/>
          </w:tcPr>
          <w:p>
            <w:r>
              <w:t>537.37</w:t>
            </w:r>
          </w:p>
        </w:tc>
        <w:tc>
          <w:tcPr>
            <w:vAlign w:val="center"/>
          </w:tcPr>
          <w:p>
            <w:r>
              <w:t>67.97</w:t>
            </w:r>
          </w:p>
        </w:tc>
        <w:tc>
          <w:tcPr>
            <w:vAlign w:val="center"/>
          </w:tcPr>
          <w:p>
            <w:r>
              <w:t>27.50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13:00</w:t>
            </w:r>
          </w:p>
        </w:tc>
        <w:tc>
          <w:tcPr>
            <w:vAlign w:val="center"/>
          </w:tcPr>
          <w:p>
            <w:r>
              <w:t>31.69</w:t>
            </w:r>
          </w:p>
        </w:tc>
        <w:tc>
          <w:tcPr>
            <w:vAlign w:val="center"/>
          </w:tcPr>
          <w:p>
            <w:r>
              <w:t>0.65</w:t>
            </w:r>
          </w:p>
        </w:tc>
        <w:tc>
          <w:tcPr>
            <w:vAlign w:val="center"/>
          </w:tcPr>
          <w:p>
            <w:r>
              <w:t>517.64</w:t>
            </w:r>
          </w:p>
        </w:tc>
        <w:tc>
          <w:tcPr>
            <w:vAlign w:val="center"/>
          </w:tcPr>
          <w:p>
            <w:r>
              <w:t>65.47</w:t>
            </w:r>
          </w:p>
        </w:tc>
        <w:tc>
          <w:tcPr>
            <w:vAlign w:val="center"/>
          </w:tcPr>
          <w:p>
            <w:r>
              <w:t>28.85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14:00</w:t>
            </w:r>
          </w:p>
        </w:tc>
        <w:tc>
          <w:tcPr>
            <w:vAlign w:val="center"/>
          </w:tcPr>
          <w:p>
            <w:r>
              <w:t>34.12</w:t>
            </w:r>
          </w:p>
        </w:tc>
        <w:tc>
          <w:tcPr>
            <w:vAlign w:val="center"/>
          </w:tcPr>
          <w:p>
            <w:r>
              <w:t>0.56</w:t>
            </w:r>
          </w:p>
        </w:tc>
        <w:tc>
          <w:tcPr>
            <w:vAlign w:val="center"/>
          </w:tcPr>
          <w:p>
            <w:r>
              <w:t>464.45</w:t>
            </w:r>
          </w:p>
        </w:tc>
        <w:tc>
          <w:tcPr>
            <w:vAlign w:val="center"/>
          </w:tcPr>
          <w:p>
            <w:r>
              <w:t>58.75</w:t>
            </w:r>
          </w:p>
        </w:tc>
        <w:tc>
          <w:tcPr>
            <w:vAlign w:val="center"/>
          </w:tcPr>
          <w:p>
            <w:r>
              <w:t>29.93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15:00</w:t>
            </w:r>
          </w:p>
        </w:tc>
        <w:tc>
          <w:tcPr>
            <w:vAlign w:val="center"/>
          </w:tcPr>
          <w:p>
            <w:r>
              <w:t>35.93</w:t>
            </w:r>
          </w:p>
        </w:tc>
        <w:tc>
          <w:tcPr>
            <w:vAlign w:val="center"/>
          </w:tcPr>
          <w:p>
            <w:r>
              <w:t>0.51</w:t>
            </w:r>
          </w:p>
        </w:tc>
        <w:tc>
          <w:tcPr>
            <w:vAlign w:val="center"/>
          </w:tcPr>
          <w:p>
            <w:r>
              <w:t>396.17</w:t>
            </w:r>
          </w:p>
        </w:tc>
        <w:tc>
          <w:tcPr>
            <w:vAlign w:val="center"/>
          </w:tcPr>
          <w:p>
            <w:r>
              <w:t>50.11</w:t>
            </w:r>
          </w:p>
        </w:tc>
        <w:tc>
          <w:tcPr>
            <w:vAlign w:val="center"/>
          </w:tcPr>
          <w:p>
            <w:r>
              <w:t>31.02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16:00</w:t>
            </w:r>
          </w:p>
        </w:tc>
        <w:tc>
          <w:tcPr>
            <w:vAlign w:val="center"/>
          </w:tcPr>
          <w:p>
            <w:r>
              <w:t>37.34</w:t>
            </w:r>
          </w:p>
        </w:tc>
        <w:tc>
          <w:tcPr>
            <w:vAlign w:val="center"/>
          </w:tcPr>
          <w:p>
            <w:r>
              <w:t>0.47</w:t>
            </w:r>
          </w:p>
        </w:tc>
        <w:tc>
          <w:tcPr>
            <w:vAlign w:val="center"/>
          </w:tcPr>
          <w:p>
            <w:r>
              <w:t>290.95</w:t>
            </w:r>
          </w:p>
        </w:tc>
        <w:tc>
          <w:tcPr>
            <w:vAlign w:val="center"/>
          </w:tcPr>
          <w:p>
            <w:r>
              <w:t>36.80</w:t>
            </w:r>
          </w:p>
        </w:tc>
        <w:tc>
          <w:tcPr>
            <w:vAlign w:val="center"/>
          </w:tcPr>
          <w:p>
            <w:r>
              <w:t>31.70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17:00</w:t>
            </w:r>
          </w:p>
        </w:tc>
        <w:tc>
          <w:tcPr>
            <w:vAlign w:val="center"/>
          </w:tcPr>
          <w:p>
            <w:r>
              <w:t>38.19</w:t>
            </w:r>
          </w:p>
        </w:tc>
        <w:tc>
          <w:tcPr>
            <w:vAlign w:val="center"/>
          </w:tcPr>
          <w:p>
            <w:r>
              <w:t>0.45</w:t>
            </w:r>
          </w:p>
        </w:tc>
        <w:tc>
          <w:tcPr>
            <w:vAlign w:val="center"/>
          </w:tcPr>
          <w:p>
            <w:r>
              <w:t>186.04</w:t>
            </w:r>
          </w:p>
        </w:tc>
        <w:tc>
          <w:tcPr>
            <w:vAlign w:val="center"/>
          </w:tcPr>
          <w:p>
            <w:r>
              <w:t>23.53</w:t>
            </w:r>
          </w:p>
        </w:tc>
        <w:tc>
          <w:tcPr>
            <w:vAlign w:val="center"/>
          </w:tcPr>
          <w:p>
            <w:r>
              <w:t>31.98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18:00</w:t>
            </w:r>
          </w:p>
        </w:tc>
        <w:tc>
          <w:tcPr>
            <w:vAlign w:val="center"/>
          </w:tcPr>
          <w:p>
            <w:r>
              <w:t>38.05</w:t>
            </w:r>
          </w:p>
        </w:tc>
        <w:tc>
          <w:tcPr>
            <w:vAlign w:val="center"/>
          </w:tcPr>
          <w:p>
            <w:r>
              <w:t>0.46</w:t>
            </w:r>
          </w:p>
        </w:tc>
        <w:tc>
          <w:tcPr>
            <w:vAlign w:val="center"/>
          </w:tcPr>
          <w:p>
            <w:r>
              <w:t>83.37</w:t>
            </w:r>
          </w:p>
        </w:tc>
        <w:tc>
          <w:tcPr>
            <w:vAlign w:val="center"/>
          </w:tcPr>
          <w:p>
            <w:r>
              <w:t>10.55</w:t>
            </w:r>
          </w:p>
        </w:tc>
        <w:tc>
          <w:tcPr>
            <w:vAlign w:val="center"/>
          </w:tcPr>
          <w:p>
            <w:r>
              <w:t>31.64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19:00</w:t>
            </w:r>
          </w:p>
        </w:tc>
        <w:tc>
          <w:tcPr>
            <w:vAlign w:val="center"/>
          </w:tcPr>
          <w:p>
            <w:r>
              <w:t>37.29</w:t>
            </w:r>
          </w:p>
        </w:tc>
        <w:tc>
          <w:tcPr>
            <w:vAlign w:val="center"/>
          </w:tcPr>
          <w:p>
            <w:r>
              <w:t>0.48</w:t>
            </w:r>
          </w:p>
        </w:tc>
        <w:tc>
          <w:tcPr>
            <w:vAlign w:val="center"/>
          </w:tcPr>
          <w:p>
            <w:r>
              <w:t>3.64</w:t>
            </w:r>
          </w:p>
        </w:tc>
        <w:tc>
          <w:tcPr>
            <w:vAlign w:val="center"/>
          </w:tcPr>
          <w:p>
            <w:r>
              <w:t>0.46</w:t>
            </w:r>
          </w:p>
        </w:tc>
        <w:tc>
          <w:tcPr>
            <w:vAlign w:val="center"/>
          </w:tcPr>
          <w:p>
            <w:r>
              <w:t>30.93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最大湿球</w:t>
            </w:r>
            <w:r>
              <w:br w:type="textWrapping"/>
            </w:r>
            <w:r>
              <w:t>黑球强度(℃)</w:t>
            </w:r>
          </w:p>
        </w:tc>
        <w:tc>
          <w:tcPr>
            <w:gridSpan w:val="5"/>
            <w:vAlign w:val="center"/>
          </w:tcPr>
          <w:p>
            <w:r>
              <w:t>31.98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5"/>
            <w:vAlign w:val="center"/>
          </w:tcPr>
          <w:p>
            <w:r>
              <w:t>满足</w:t>
            </w:r>
          </w:p>
        </w:tc>
      </w:tr>
    </w:tbl>
    <w:p>
      <w:pPr>
        <w:pStyle w:val="3"/>
        <w:ind w:firstLine="0" w:firstLineChars="0"/>
        <w:rPr>
          <w:lang w:val="en-US"/>
        </w:rPr>
      </w:pPr>
      <w:bookmarkStart w:id="49" w:name="湿球黑球温度"/>
      <w:bookmarkEnd w:id="49"/>
    </w:p>
    <w:p>
      <w:pPr>
        <w:pStyle w:val="3"/>
        <w:ind w:firstLine="0" w:firstLineChars="0"/>
        <w:rPr>
          <w:lang w:val="en-US"/>
        </w:rPr>
      </w:pPr>
      <w:bookmarkStart w:id="50" w:name="湿球黑球温度图片"/>
      <w:bookmarkEnd w:id="50"/>
      <w:r>
        <w:drawing>
          <wp:inline distT="0" distB="0" distL="0" distR="0">
            <wp:extent cx="5667375" cy="3105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105150"/>
                    </a:xfrm>
                    <a:prstGeom prst="rect">
                      <a:avLst/>
                    </a:prstGeom>
                  </pic:spPr>
                </pic:pic>
              </a:graphicData>
            </a:graphic>
          </wp:inline>
        </w:drawing>
      </w:r>
    </w:p>
    <w:p>
      <w:pPr>
        <w:pStyle w:val="2"/>
      </w:pPr>
      <w:bookmarkStart w:id="51" w:name="_Toc16494786"/>
      <w:bookmarkStart w:id="52" w:name="_Toc26943"/>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pPr>
              <w:jc w:val="center"/>
            </w:pPr>
            <w:bookmarkStart w:id="53" w:name="结论"/>
            <w:bookmarkEnd w:id="53"/>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54" w:name="平均热岛强度结论"/>
            <w:r>
              <w:t>满足</w:t>
            </w:r>
            <w:bookmarkEnd w:id="54"/>
          </w:p>
        </w:tc>
        <w:tc>
          <w:tcPr>
            <w:tcW w:w="2800" w:type="dxa"/>
            <w:vMerge w:val="restart"/>
            <w:vAlign w:val="center"/>
          </w:tcPr>
          <w:p>
            <w:r>
              <w:t>需同时满足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55" w:name="湿球黑球温度结论"/>
            <w:r>
              <w:t>满足</w:t>
            </w:r>
            <w:bookmarkEnd w:id="55"/>
          </w:p>
        </w:tc>
        <w:tc>
          <w:tcPr>
            <w:tcW w:w="2800" w:type="dxa"/>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56" w:name="总结论"/>
            <w:r>
              <w:rPr>
                <w:rFonts w:hint="eastAsia"/>
                <w:b/>
              </w:rPr>
              <w:t>满足</w:t>
            </w:r>
            <w:bookmarkEnd w:id="56"/>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A52ED3"/>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4EA5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0" Type="http://schemas.openxmlformats.org/officeDocument/2006/relationships/fontTable" Target="fontTable.xml"/><Relationship Id="rId8" Type="http://schemas.openxmlformats.org/officeDocument/2006/relationships/footer" Target="footer3.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tmp11.dotx</Template>
  <Pages>10</Pages>
  <Words>2235</Words>
  <Characters>3818</Characters>
  <Lines>199</Lines>
  <Paragraphs>215</Paragraphs>
  <TotalTime>0</TotalTime>
  <ScaleCrop>false</ScaleCrop>
  <LinksUpToDate>false</LinksUpToDate>
  <CharactersWithSpaces>3863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2026-01-01T04:14:00Z</dcterms:created>
  <dc:creator>T。</dc:creator>
  <cp:lastModifiedBy>T。</cp:lastModifiedBy>
  <dcterms:modified xsi:type="dcterms:W3CDTF">2026-01-01T04:14:43Z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