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7C9A35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外窗可开启面积比例计算书</w:t>
      </w:r>
    </w:p>
    <w:p w14:paraId="5A0FFE63">
      <w:pPr>
        <w:rPr>
          <w:rFonts w:hint="eastAsia"/>
        </w:rPr>
      </w:pPr>
    </w:p>
    <w:p w14:paraId="56C49921">
      <w:pPr>
        <w:rPr>
          <w:rFonts w:hint="eastAsia"/>
        </w:rPr>
      </w:pPr>
      <w:r>
        <w:rPr>
          <w:rFonts w:hint="eastAsia"/>
        </w:rPr>
        <w:t>一、工程概况</w:t>
      </w:r>
    </w:p>
    <w:p w14:paraId="3CDF0E23">
      <w:pPr>
        <w:rPr>
          <w:rFonts w:hint="eastAsia"/>
        </w:rPr>
      </w:pPr>
    </w:p>
    <w:p w14:paraId="3B684403">
      <w:pPr>
        <w:rPr>
          <w:rFonts w:hint="eastAsia"/>
        </w:rPr>
      </w:pPr>
      <w:r>
        <w:rPr>
          <w:rFonts w:hint="eastAsia"/>
        </w:rPr>
        <w:t>• 项目名称：浮光方序Ⅰ——基于消解与穿行的豫南绿色现代博物馆（配套住宅部分）</w:t>
      </w:r>
    </w:p>
    <w:p w14:paraId="58A5B36F">
      <w:pPr>
        <w:rPr>
          <w:rFonts w:hint="eastAsia"/>
        </w:rPr>
      </w:pPr>
    </w:p>
    <w:p w14:paraId="4D21C1F2">
      <w:pPr>
        <w:rPr>
          <w:rFonts w:hint="eastAsia"/>
        </w:rPr>
      </w:pPr>
      <w:r>
        <w:rPr>
          <w:rFonts w:hint="eastAsia"/>
        </w:rPr>
        <w:t>• 建设地点：河南省南部地区（夏热冬冷和温和B地区）</w:t>
      </w:r>
    </w:p>
    <w:p w14:paraId="7D785169">
      <w:pPr>
        <w:rPr>
          <w:rFonts w:hint="eastAsia"/>
        </w:rPr>
      </w:pPr>
    </w:p>
    <w:p w14:paraId="65CEA6B3">
      <w:pPr>
        <w:rPr>
          <w:rFonts w:hint="eastAsia"/>
        </w:rPr>
      </w:pPr>
      <w:r>
        <w:rPr>
          <w:rFonts w:hint="eastAsia"/>
        </w:rPr>
        <w:t>• 计算日期：2026年03月19日</w:t>
      </w:r>
    </w:p>
    <w:p w14:paraId="149B4F1C">
      <w:pPr>
        <w:rPr>
          <w:rFonts w:hint="eastAsia"/>
        </w:rPr>
      </w:pPr>
    </w:p>
    <w:p w14:paraId="3FAC57CA">
      <w:pPr>
        <w:rPr>
          <w:rFonts w:hint="eastAsia"/>
        </w:rPr>
      </w:pPr>
      <w:r>
        <w:rPr>
          <w:rFonts w:hint="eastAsia"/>
        </w:rPr>
        <w:t>• 计算依据：</w:t>
      </w:r>
    </w:p>
    <w:p w14:paraId="26D6DD51">
      <w:pPr>
        <w:rPr>
          <w:rFonts w:hint="eastAsia"/>
        </w:rPr>
      </w:pPr>
    </w:p>
    <w:p w14:paraId="34C7A139">
      <w:pPr>
        <w:rPr>
          <w:rFonts w:hint="eastAsia"/>
        </w:rPr>
      </w:pPr>
      <w:r>
        <w:rPr>
          <w:rFonts w:hint="eastAsia"/>
        </w:rPr>
        <w:t>1. 《绿色建筑评价标准》GB/T 50378-2019 第5.2.10条</w:t>
      </w:r>
    </w:p>
    <w:p w14:paraId="6A511E47">
      <w:pPr>
        <w:rPr>
          <w:rFonts w:hint="eastAsia"/>
        </w:rPr>
      </w:pPr>
    </w:p>
    <w:p w14:paraId="78614742">
      <w:pPr>
        <w:rPr>
          <w:rFonts w:hint="eastAsia"/>
        </w:rPr>
      </w:pPr>
      <w:r>
        <w:rPr>
          <w:rFonts w:hint="eastAsia"/>
        </w:rPr>
        <w:t>2. 《住宅设计规范》GB 50096-2011</w:t>
      </w:r>
    </w:p>
    <w:p w14:paraId="7EA4C791">
      <w:pPr>
        <w:rPr>
          <w:rFonts w:hint="eastAsia"/>
        </w:rPr>
      </w:pPr>
    </w:p>
    <w:p w14:paraId="5FBDC2AB">
      <w:pPr>
        <w:rPr>
          <w:rFonts w:hint="eastAsia"/>
        </w:rPr>
      </w:pPr>
      <w:r>
        <w:rPr>
          <w:rFonts w:hint="eastAsia"/>
        </w:rPr>
        <w:t>3. 本项目住宅专业图纸、外窗设计说明及平面布置图</w:t>
      </w:r>
    </w:p>
    <w:p w14:paraId="43749421">
      <w:pPr>
        <w:rPr>
          <w:rFonts w:hint="eastAsia"/>
        </w:rPr>
      </w:pPr>
      <w:r>
        <w:rPr>
          <w:rFonts w:hint="eastAsia"/>
        </w:rPr>
        <w:t>二、核心指标核算</w:t>
      </w:r>
    </w:p>
    <w:p w14:paraId="2FCCDC08">
      <w:pPr>
        <w:rPr>
          <w:rFonts w:hint="eastAsia"/>
        </w:rPr>
      </w:pPr>
    </w:p>
    <w:p w14:paraId="1436ADC1">
      <w:pPr>
        <w:rPr>
          <w:rFonts w:hint="eastAsia"/>
        </w:rPr>
      </w:pPr>
      <w:r>
        <w:rPr>
          <w:rFonts w:hint="eastAsia"/>
        </w:rPr>
        <w:t>1. 住宅房间地板面积</w:t>
      </w:r>
    </w:p>
    <w:p w14:paraId="708D16A9">
      <w:pPr>
        <w:rPr>
          <w:rFonts w:hint="eastAsia"/>
        </w:rPr>
      </w:pPr>
    </w:p>
    <w:p w14:paraId="29592264">
      <w:pPr>
        <w:rPr>
          <w:rFonts w:hint="eastAsia"/>
        </w:rPr>
      </w:pPr>
      <w:r>
        <w:rPr>
          <w:rFonts w:hint="eastAsia"/>
        </w:rPr>
        <w:t>本项目配套住宅部分共包含12套户型，各户型房间地板面积汇总后，住宅房间总地板面积为 1440㎡。</w:t>
      </w:r>
    </w:p>
    <w:p w14:paraId="132C6CBC">
      <w:pPr>
        <w:rPr>
          <w:rFonts w:hint="eastAsia"/>
        </w:rPr>
      </w:pPr>
    </w:p>
    <w:p w14:paraId="41C6B7D3">
      <w:pPr>
        <w:rPr>
          <w:rFonts w:hint="eastAsia"/>
        </w:rPr>
      </w:pPr>
      <w:r>
        <w:rPr>
          <w:rFonts w:hint="eastAsia"/>
        </w:rPr>
        <w:t>2. 外窗可开启面积</w:t>
      </w:r>
    </w:p>
    <w:p w14:paraId="3026F38F">
      <w:pPr>
        <w:rPr>
          <w:rFonts w:hint="eastAsia"/>
        </w:rPr>
      </w:pPr>
    </w:p>
    <w:p w14:paraId="0C37A2FA">
      <w:pPr>
        <w:rPr>
          <w:rFonts w:hint="eastAsia"/>
        </w:rPr>
      </w:pPr>
      <w:r>
        <w:rPr>
          <w:rFonts w:hint="eastAsia"/>
        </w:rPr>
        <w:t>• 外窗采用断桥铝+中空Low-E玻璃构造，所有外窗均设置可开启扇（平开窗/上悬窗）。</w:t>
      </w:r>
    </w:p>
    <w:p w14:paraId="2E58DC45">
      <w:pPr>
        <w:rPr>
          <w:rFonts w:hint="eastAsia"/>
        </w:rPr>
      </w:pPr>
    </w:p>
    <w:p w14:paraId="2B083A97">
      <w:pPr>
        <w:rPr>
          <w:rFonts w:hint="eastAsia"/>
        </w:rPr>
      </w:pPr>
      <w:r>
        <w:rPr>
          <w:rFonts w:hint="eastAsia"/>
        </w:rPr>
        <w:t>• 经统计，住宅外窗总可开启面积为 173㎡。</w:t>
      </w:r>
    </w:p>
    <w:p w14:paraId="2E17F199">
      <w:pPr>
        <w:rPr>
          <w:rFonts w:hint="eastAsia"/>
        </w:rPr>
      </w:pPr>
    </w:p>
    <w:p w14:paraId="46568420">
      <w:pPr>
        <w:rPr>
          <w:rFonts w:hint="eastAsia"/>
        </w:rPr>
      </w:pPr>
      <w:r>
        <w:rPr>
          <w:rFonts w:hint="eastAsia"/>
        </w:rPr>
        <w:t>3. 可开启面积比例</w:t>
      </w:r>
    </w:p>
    <w:p w14:paraId="7C97B50C">
      <w:pPr>
        <w:rPr>
          <w:rFonts w:hint="eastAsia"/>
        </w:rPr>
      </w:pPr>
    </w:p>
    <w:p w14:paraId="0A0E362B">
      <w:pPr>
        <w:rPr>
          <w:rFonts w:hint="eastAsia"/>
        </w:rPr>
      </w:pPr>
      <w:r>
        <w:rPr>
          <w:rFonts w:hint="eastAsia"/>
        </w:rPr>
        <w:t>外窗可开启面积与房间地板面积的比例为 12.01%，满足《绿色建筑评价标准》GB/T 50378-2019第5.2.10条中“夏热冬冷和温和B地区达到12%得5分，每再增加2%加1分”的要求，对应获得满分8分。</w:t>
      </w:r>
    </w:p>
    <w:p w14:paraId="6AE2FB4E">
      <w:pPr>
        <w:rPr>
          <w:rFonts w:hint="eastAsia"/>
        </w:rPr>
      </w:pPr>
      <w:r>
        <w:rPr>
          <w:rFonts w:hint="eastAsia"/>
        </w:rPr>
        <w:t>三、自然通风优化设计说明</w:t>
      </w:r>
    </w:p>
    <w:p w14:paraId="0E555EF5">
      <w:pPr>
        <w:rPr>
          <w:rFonts w:hint="eastAsia"/>
        </w:rPr>
      </w:pPr>
    </w:p>
    <w:p w14:paraId="0742C366">
      <w:pPr>
        <w:rPr>
          <w:rFonts w:hint="eastAsia"/>
        </w:rPr>
      </w:pPr>
      <w:r>
        <w:rPr>
          <w:rFonts w:hint="eastAsia"/>
        </w:rPr>
        <w:t>• 本项目住宅采用南北向通透布局，外窗可开启扇对位布置，形成穿堂风，提升自然通风效率。</w:t>
      </w:r>
    </w:p>
    <w:p w14:paraId="5602382E">
      <w:pPr>
        <w:rPr>
          <w:rFonts w:hint="eastAsia"/>
        </w:rPr>
      </w:pPr>
    </w:p>
    <w:p w14:paraId="161B3392">
      <w:pPr>
        <w:rPr>
          <w:rFonts w:hint="eastAsia"/>
        </w:rPr>
      </w:pPr>
      <w:r>
        <w:rPr>
          <w:rFonts w:hint="eastAsia"/>
        </w:rPr>
        <w:t>• 可开启扇位置避开主要景观面，兼顾通风与采光、隐私需求。</w:t>
      </w:r>
    </w:p>
    <w:p w14:paraId="09489D13">
      <w:pPr>
        <w:rPr>
          <w:rFonts w:hint="eastAsia"/>
        </w:rPr>
      </w:pPr>
    </w:p>
    <w:p w14:paraId="62CEB93C">
      <w:pPr>
        <w:rPr>
          <w:rFonts w:hint="eastAsia"/>
        </w:rPr>
      </w:pPr>
      <w:r>
        <w:rPr>
          <w:rFonts w:hint="eastAsia"/>
        </w:rPr>
        <w:t>• 过渡季可完全开启外窗，有效降低空调使用时长，符合绿色建筑节能理念。</w:t>
      </w:r>
    </w:p>
    <w:p w14:paraId="306BB105">
      <w:pPr>
        <w:rPr>
          <w:rFonts w:hint="eastAsia"/>
        </w:rPr>
      </w:pPr>
      <w:r>
        <w:rPr>
          <w:rFonts w:hint="eastAsia"/>
        </w:rPr>
        <w:t>四、合规性评价</w:t>
      </w:r>
    </w:p>
    <w:p w14:paraId="0EDD30CD">
      <w:pPr>
        <w:rPr>
          <w:rFonts w:hint="eastAsia"/>
        </w:rPr>
      </w:pPr>
    </w:p>
    <w:p w14:paraId="3D321FD4">
      <w:pPr>
        <w:rPr>
          <w:rFonts w:hint="eastAsia"/>
        </w:rPr>
      </w:pPr>
      <w:r>
        <w:rPr>
          <w:rFonts w:hint="eastAsia"/>
        </w:rPr>
        <w:t>本项目住宅外窗可开启面积比例为 12.01%，满足夏热冬冷和温和B地区12%的规范要求，且达到满分评分标准，自然通风效果优良，符合《绿色建筑评价标准》GB/T 50378-2019第5.2.10条规定，认定为达标。</w:t>
      </w:r>
    </w:p>
    <w:p w14:paraId="3B33106C">
      <w:pPr>
        <w:rPr>
          <w:rFonts w:hint="eastAsia"/>
        </w:rPr>
      </w:pPr>
      <w:r>
        <w:rPr>
          <w:rFonts w:hint="eastAsia"/>
        </w:rPr>
        <w:t>五、结论</w:t>
      </w:r>
    </w:p>
    <w:p w14:paraId="7E9FFBCE">
      <w:pPr>
        <w:rPr>
          <w:rFonts w:hint="eastAsia"/>
        </w:rPr>
      </w:pPr>
    </w:p>
    <w:p w14:paraId="7843AC5C">
      <w:pPr>
        <w:rPr>
          <w:rFonts w:hint="eastAsia"/>
        </w:rPr>
      </w:pPr>
      <w:r>
        <w:rPr>
          <w:rFonts w:hint="eastAsia"/>
        </w:rPr>
        <w:t>本计算书数据真实有效，住宅外窗可开启面积比例满足规范及绿色建筑评价要求，自然通风优化设计合理，可作为5.2.10条评价提资依据。</w:t>
      </w:r>
    </w:p>
    <w:p w14:paraId="261E6DAE">
      <w:pPr>
        <w:rPr>
          <w:rFonts w:hint="eastAsia"/>
        </w:rPr>
      </w:pPr>
      <w:r>
        <w:rPr>
          <w:rFonts w:hint="eastAsia"/>
        </w:rPr>
        <w:t>六、备注</w:t>
      </w:r>
    </w:p>
    <w:p w14:paraId="561A6631">
      <w:pPr>
        <w:rPr>
          <w:rFonts w:hint="eastAsia"/>
        </w:rPr>
      </w:pPr>
    </w:p>
    <w:p w14:paraId="5F2C0407">
      <w:pPr>
        <w:rPr>
          <w:rFonts w:hint="eastAsia"/>
        </w:rPr>
      </w:pPr>
      <w:r>
        <w:rPr>
          <w:rFonts w:hint="eastAsia"/>
        </w:rPr>
        <w:t>1. 本计算书仅针对配套住宅部分，博物馆公共建筑部分需另行提供自然通风模拟分析报告。</w:t>
      </w:r>
    </w:p>
    <w:p w14:paraId="51C5DFD6">
      <w:pPr>
        <w:rPr>
          <w:rFonts w:hint="eastAsia"/>
        </w:rPr>
      </w:pPr>
    </w:p>
    <w:p w14:paraId="2DE96823">
      <w:pPr>
        <w:rPr>
          <w:rFonts w:hint="eastAsia"/>
        </w:rPr>
      </w:pPr>
      <w:r>
        <w:rPr>
          <w:rFonts w:hint="eastAsia"/>
        </w:rPr>
        <w:t>2. 所有量测数据、外窗设计图纸均已归档留存，可随时查阅。</w:t>
      </w:r>
    </w:p>
    <w:p w14:paraId="2B3F3FAB">
      <w:pPr>
        <w:rPr>
          <w:rFonts w:hint="eastAsia"/>
        </w:rPr>
      </w:pPr>
      <w:r>
        <w:rPr>
          <w:rFonts w:hint="eastAsia"/>
        </w:rPr>
        <w:t>日期：2026年03月19日</w:t>
      </w:r>
    </w:p>
    <w:p w14:paraId="7D3131D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C955CA"/>
    <w:rsid w:val="3DC95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2026-03-19T16:06:00Z</dcterms:created>
  <dc:creator>邓睿瑞今天睡好了吗</dc:creator>
  <cp:lastModifiedBy>邓睿瑞今天睡好了吗</cp:lastModifiedBy>
  <dcterms:modified xsi:type="dcterms:W3CDTF">2026-03-19T16:08:45Z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772F8E6D93174317B1786EACFB8954E2_11</vt:lpwstr>
  </property>
  <property fmtid="{D5CDD505-2E9C-101B-9397-08002B2CF9AE}" pid="4" name="KSOTemplateDocerSaveRecord">
    <vt:lpwstr>eyJoZGlkIjoiMmM0NDNiZTE0YzZjMGM1MGZhM2Y2NjAzM2FmNzAyNDQiLCJ1c2VySWQiOiIxMTY3NzUyNTU0In0=</vt:lpwstr>
  </property>
</Properties>
</file>