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ADD4">
      <w:pPr>
        <w:rPr>
          <w:rFonts w:hint="eastAsia"/>
        </w:rPr>
      </w:pPr>
      <w:bookmarkStart w:id="0" w:name="_GoBack"/>
      <w:bookmarkEnd w:id="0"/>
      <w:r>
        <w:rPr>
          <w:rFonts w:hint="eastAsia"/>
        </w:rPr>
        <w:t>公共建筑地下空间采光系数计算书</w:t>
      </w:r>
    </w:p>
    <w:p w14:paraId="75E8BE7D">
      <w:pPr>
        <w:rPr>
          <w:rFonts w:hint="eastAsia"/>
        </w:rPr>
      </w:pPr>
    </w:p>
    <w:p w14:paraId="209B7632">
      <w:pPr>
        <w:rPr>
          <w:rFonts w:hint="eastAsia"/>
        </w:rPr>
      </w:pPr>
      <w:r>
        <w:rPr>
          <w:rFonts w:hint="eastAsia"/>
        </w:rPr>
        <w:t>一、工程概况</w:t>
      </w:r>
    </w:p>
    <w:p w14:paraId="2D24AE32">
      <w:pPr>
        <w:rPr>
          <w:rFonts w:hint="eastAsia"/>
        </w:rPr>
      </w:pPr>
    </w:p>
    <w:p w14:paraId="518F7782">
      <w:pPr>
        <w:rPr>
          <w:rFonts w:hint="eastAsia"/>
        </w:rPr>
      </w:pPr>
      <w:r>
        <w:rPr>
          <w:rFonts w:hint="eastAsia"/>
        </w:rPr>
        <w:t>• 项目名称：浮光方序Ⅰ——基于消解与穿行的豫南绿色现代博物馆</w:t>
      </w:r>
    </w:p>
    <w:p w14:paraId="4CB4C7E3">
      <w:pPr>
        <w:rPr>
          <w:rFonts w:hint="eastAsia"/>
        </w:rPr>
      </w:pPr>
    </w:p>
    <w:p w14:paraId="4749A7FA">
      <w:pPr>
        <w:rPr>
          <w:rFonts w:hint="eastAsia"/>
        </w:rPr>
      </w:pPr>
      <w:r>
        <w:rPr>
          <w:rFonts w:hint="eastAsia"/>
        </w:rPr>
        <w:t>• 建设地点：河南省南部地区</w:t>
      </w:r>
    </w:p>
    <w:p w14:paraId="3B0DFFE3">
      <w:pPr>
        <w:rPr>
          <w:rFonts w:hint="eastAsia"/>
        </w:rPr>
      </w:pPr>
    </w:p>
    <w:p w14:paraId="18B3D458">
      <w:pPr>
        <w:rPr>
          <w:rFonts w:hint="eastAsia"/>
        </w:rPr>
      </w:pPr>
      <w:r>
        <w:rPr>
          <w:rFonts w:hint="eastAsia"/>
        </w:rPr>
        <w:t>• 建筑性质：公共建筑（博物馆）</w:t>
      </w:r>
    </w:p>
    <w:p w14:paraId="5C48A038">
      <w:pPr>
        <w:rPr>
          <w:rFonts w:hint="eastAsia"/>
        </w:rPr>
      </w:pPr>
    </w:p>
    <w:p w14:paraId="4EBCC2A2">
      <w:pPr>
        <w:rPr>
          <w:rFonts w:hint="eastAsia"/>
        </w:rPr>
      </w:pPr>
      <w:r>
        <w:rPr>
          <w:rFonts w:hint="eastAsia"/>
        </w:rPr>
        <w:t>• 地下室首层面积：2800㎡</w:t>
      </w:r>
    </w:p>
    <w:p w14:paraId="00446596">
      <w:pPr>
        <w:rPr>
          <w:rFonts w:hint="eastAsia"/>
        </w:rPr>
      </w:pPr>
    </w:p>
    <w:p w14:paraId="5EA02D20">
      <w:pPr>
        <w:rPr>
          <w:rFonts w:hint="eastAsia"/>
        </w:rPr>
      </w:pPr>
      <w:r>
        <w:rPr>
          <w:rFonts w:hint="eastAsia"/>
        </w:rPr>
        <w:t>• 计算日期：2026年03月19日</w:t>
      </w:r>
    </w:p>
    <w:p w14:paraId="1198619D">
      <w:pPr>
        <w:rPr>
          <w:rFonts w:hint="eastAsia"/>
        </w:rPr>
      </w:pPr>
    </w:p>
    <w:p w14:paraId="61CB8C5B">
      <w:pPr>
        <w:rPr>
          <w:rFonts w:hint="eastAsia"/>
        </w:rPr>
      </w:pPr>
      <w:r>
        <w:rPr>
          <w:rFonts w:hint="eastAsia"/>
        </w:rPr>
        <w:t>• 计算依据：</w:t>
      </w:r>
    </w:p>
    <w:p w14:paraId="174E24D7">
      <w:pPr>
        <w:rPr>
          <w:rFonts w:hint="eastAsia"/>
        </w:rPr>
      </w:pPr>
    </w:p>
    <w:p w14:paraId="4CF6DD60">
      <w:pPr>
        <w:rPr>
          <w:rFonts w:hint="eastAsia"/>
        </w:rPr>
      </w:pPr>
      <w:r>
        <w:rPr>
          <w:rFonts w:hint="eastAsia"/>
        </w:rPr>
        <w:t>1. 《绿色建筑评价标准》GB/T 50378-2019 第5.2.8条</w:t>
      </w:r>
    </w:p>
    <w:p w14:paraId="5261F207">
      <w:pPr>
        <w:rPr>
          <w:rFonts w:hint="eastAsia"/>
        </w:rPr>
      </w:pPr>
    </w:p>
    <w:p w14:paraId="1FB9C625">
      <w:pPr>
        <w:rPr>
          <w:rFonts w:hint="eastAsia"/>
        </w:rPr>
      </w:pPr>
      <w:r>
        <w:rPr>
          <w:rFonts w:hint="eastAsia"/>
        </w:rPr>
        <w:t>2. 《建筑采光设计标准》GB 50033-2013</w:t>
      </w:r>
    </w:p>
    <w:p w14:paraId="05B41CF0">
      <w:pPr>
        <w:rPr>
          <w:rFonts w:hint="eastAsia"/>
        </w:rPr>
      </w:pPr>
    </w:p>
    <w:p w14:paraId="56E71820">
      <w:pPr>
        <w:rPr>
          <w:rFonts w:hint="eastAsia"/>
        </w:rPr>
      </w:pPr>
      <w:r>
        <w:rPr>
          <w:rFonts w:hint="eastAsia"/>
        </w:rPr>
        <w:t>3. 本项目地下空间设计图纸、采光设计说明及动态采光分析报告</w:t>
      </w:r>
    </w:p>
    <w:p w14:paraId="25E48177">
      <w:pPr>
        <w:rPr>
          <w:rFonts w:hint="eastAsia"/>
        </w:rPr>
      </w:pPr>
      <w:r>
        <w:rPr>
          <w:rFonts w:hint="eastAsia"/>
        </w:rPr>
        <w:t>二、地下空间采光设计概况</w:t>
      </w:r>
    </w:p>
    <w:p w14:paraId="5C32F2AA">
      <w:pPr>
        <w:rPr>
          <w:rFonts w:hint="eastAsia"/>
        </w:rPr>
      </w:pPr>
    </w:p>
    <w:p w14:paraId="0B098078">
      <w:pPr>
        <w:rPr>
          <w:rFonts w:hint="eastAsia"/>
        </w:rPr>
      </w:pPr>
      <w:r>
        <w:rPr>
          <w:rFonts w:hint="eastAsia"/>
        </w:rPr>
        <w:t>本项目地下空间主要为设备机房、临时库房及后勤辅助空间，采用导光管采光系统+下沉庭院相结合的天然采光方式：</w:t>
      </w:r>
    </w:p>
    <w:p w14:paraId="53EC7454">
      <w:pPr>
        <w:rPr>
          <w:rFonts w:hint="eastAsia"/>
        </w:rPr>
      </w:pPr>
    </w:p>
    <w:p w14:paraId="4F87006B">
      <w:pPr>
        <w:rPr>
          <w:rFonts w:hint="eastAsia"/>
        </w:rPr>
      </w:pPr>
      <w:r>
        <w:rPr>
          <w:rFonts w:hint="eastAsia"/>
        </w:rPr>
        <w:t>• 导光管采光系统：共设置36套高效导光管，将屋面自然光引入地下空间核心区域。</w:t>
      </w:r>
    </w:p>
    <w:p w14:paraId="4D453742">
      <w:pPr>
        <w:rPr>
          <w:rFonts w:hint="eastAsia"/>
        </w:rPr>
      </w:pPr>
    </w:p>
    <w:p w14:paraId="0F64BE06">
      <w:pPr>
        <w:rPr>
          <w:rFonts w:hint="eastAsia"/>
        </w:rPr>
      </w:pPr>
      <w:r>
        <w:rPr>
          <w:rFonts w:hint="eastAsia"/>
        </w:rPr>
        <w:t>• 下沉庭院：沿地下空间北侧设置2处下沉庭院，通过侧窗为周边区域提供天然采光。</w:t>
      </w:r>
    </w:p>
    <w:p w14:paraId="464B317B">
      <w:pPr>
        <w:rPr>
          <w:rFonts w:hint="eastAsia"/>
        </w:rPr>
      </w:pPr>
    </w:p>
    <w:p w14:paraId="0E6F24A8">
      <w:pPr>
        <w:rPr>
          <w:rFonts w:hint="eastAsia"/>
        </w:rPr>
      </w:pPr>
      <w:r>
        <w:rPr>
          <w:rFonts w:hint="eastAsia"/>
        </w:rPr>
        <w:t>• 采光覆盖范围：可满足地下空间主要功能区域的天然采光需求，提升空间舒适度并降低人工照明能耗。</w:t>
      </w:r>
    </w:p>
    <w:p w14:paraId="6AF1542A">
      <w:pPr>
        <w:rPr>
          <w:rFonts w:hint="eastAsia"/>
        </w:rPr>
      </w:pPr>
      <w:r>
        <w:rPr>
          <w:rFonts w:hint="eastAsia"/>
        </w:rPr>
        <w:t>三、采光系数与面积比例核算</w:t>
      </w:r>
    </w:p>
    <w:p w14:paraId="18E1D822">
      <w:pPr>
        <w:rPr>
          <w:rFonts w:hint="eastAsia"/>
        </w:rPr>
      </w:pPr>
    </w:p>
    <w:p w14:paraId="3462679B">
      <w:pPr>
        <w:rPr>
          <w:rFonts w:hint="eastAsia"/>
        </w:rPr>
      </w:pPr>
      <w:r>
        <w:rPr>
          <w:rFonts w:hint="eastAsia"/>
        </w:rPr>
        <w:t>1. 采光系数达标面积</w:t>
      </w:r>
    </w:p>
    <w:p w14:paraId="2E7D1DC2">
      <w:pPr>
        <w:rPr>
          <w:rFonts w:hint="eastAsia"/>
        </w:rPr>
      </w:pPr>
    </w:p>
    <w:p w14:paraId="0F35151C">
      <w:pPr>
        <w:rPr>
          <w:rFonts w:hint="eastAsia"/>
        </w:rPr>
      </w:pPr>
      <w:r>
        <w:rPr>
          <w:rFonts w:hint="eastAsia"/>
        </w:rPr>
        <w:t>经现场模拟与计算，地下空间中平均采光系数不小于0.5%的区域面积为 336㎡，主要分布于导光管覆盖区及下沉庭院周边区域。</w:t>
      </w:r>
    </w:p>
    <w:p w14:paraId="6A7A27E4">
      <w:pPr>
        <w:rPr>
          <w:rFonts w:hint="eastAsia"/>
        </w:rPr>
      </w:pPr>
    </w:p>
    <w:p w14:paraId="4EA42370">
      <w:pPr>
        <w:rPr>
          <w:rFonts w:hint="eastAsia"/>
        </w:rPr>
      </w:pPr>
      <w:r>
        <w:rPr>
          <w:rFonts w:hint="eastAsia"/>
        </w:rPr>
        <w:t>2. 面积比例计算</w:t>
      </w:r>
    </w:p>
    <w:p w14:paraId="21EA348B">
      <w:pPr>
        <w:rPr>
          <w:rFonts w:hint="eastAsia"/>
        </w:rPr>
      </w:pPr>
    </w:p>
    <w:p w14:paraId="7F98C9D0">
      <w:pPr>
        <w:rPr>
          <w:rFonts w:hint="eastAsia"/>
        </w:rPr>
      </w:pPr>
      <w:r>
        <w:rPr>
          <w:rFonts w:hint="eastAsia"/>
        </w:rPr>
        <w:t>达标采光面积与地下室首层面积的比例为：</w:t>
      </w:r>
    </w:p>
    <w:p w14:paraId="46092B80">
      <w:pPr>
        <w:rPr>
          <w:rFonts w:hint="eastAsia"/>
        </w:rPr>
      </w:pPr>
    </w:p>
    <w:p w14:paraId="0437A280">
      <w:pPr>
        <w:rPr>
          <w:rFonts w:hint="eastAsia"/>
        </w:rPr>
      </w:pPr>
      <w:r>
        <w:rPr>
          <w:rFonts w:hint="eastAsia"/>
        </w:rPr>
        <w:t>\text{采光面积比例} = \frac{336\ \text{㎡}}{2800\ \text{㎡}} = 12\%</w:t>
      </w:r>
    </w:p>
    <w:p w14:paraId="56B2C2D2">
      <w:pPr>
        <w:rPr>
          <w:rFonts w:hint="eastAsia"/>
        </w:rPr>
      </w:pPr>
    </w:p>
    <w:p w14:paraId="176A8332">
      <w:pPr>
        <w:rPr>
          <w:rFonts w:hint="eastAsia"/>
        </w:rPr>
      </w:pPr>
      <w:r>
        <w:rPr>
          <w:rFonts w:hint="eastAsia"/>
        </w:rPr>
        <w:t>该比例≥10%，满足《绿色建筑评价标准》GB/T 50378-2019第5.2.8条中“地下空间平均采光系数不小于0.5%的面积与地下室首层面积的比例达到10%以上”的要求，可获得对应4分评价得分。</w:t>
      </w:r>
    </w:p>
    <w:p w14:paraId="01C09F37">
      <w:pPr>
        <w:rPr>
          <w:rFonts w:hint="eastAsia"/>
        </w:rPr>
      </w:pPr>
      <w:r>
        <w:rPr>
          <w:rFonts w:hint="eastAsia"/>
        </w:rPr>
        <w:t>四、其他采光指标验证</w:t>
      </w:r>
    </w:p>
    <w:p w14:paraId="33DE23EE">
      <w:pPr>
        <w:rPr>
          <w:rFonts w:hint="eastAsia"/>
        </w:rPr>
      </w:pPr>
    </w:p>
    <w:p w14:paraId="01CD5DF2">
      <w:pPr>
        <w:rPr>
          <w:rFonts w:hint="eastAsia"/>
        </w:rPr>
      </w:pPr>
      <w:r>
        <w:rPr>
          <w:rFonts w:hint="eastAsia"/>
        </w:rPr>
        <w:t>结合内区采光系数与主要功能空间采光时长要求，本项目公共建筑部分：</w:t>
      </w:r>
    </w:p>
    <w:p w14:paraId="39150D33">
      <w:pPr>
        <w:rPr>
          <w:rFonts w:hint="eastAsia"/>
        </w:rPr>
      </w:pPr>
    </w:p>
    <w:p w14:paraId="65996CC6">
      <w:pPr>
        <w:rPr>
          <w:rFonts w:hint="eastAsia"/>
        </w:rPr>
      </w:pPr>
      <w:r>
        <w:rPr>
          <w:rFonts w:hint="eastAsia"/>
        </w:rPr>
        <w:t>1. 内区采光系数满足要求的面积比例：达到65%，满足≥60%的要求，得4分。</w:t>
      </w:r>
    </w:p>
    <w:p w14:paraId="5085721E">
      <w:pPr>
        <w:rPr>
          <w:rFonts w:hint="eastAsia"/>
        </w:rPr>
      </w:pPr>
    </w:p>
    <w:p w14:paraId="5E6C3998">
      <w:pPr>
        <w:rPr>
          <w:rFonts w:hint="eastAsia"/>
        </w:rPr>
      </w:pPr>
      <w:r>
        <w:rPr>
          <w:rFonts w:hint="eastAsia"/>
        </w:rPr>
        <w:t>2. 主要功能空间采光时长：至少65%面积比例区域的采光照度值不低于采光要求的小时数平均不少于4h/d，满足≥60%的要求，得4分。</w:t>
      </w:r>
    </w:p>
    <w:p w14:paraId="6A322748">
      <w:pPr>
        <w:rPr>
          <w:rFonts w:hint="eastAsia"/>
        </w:rPr>
      </w:pPr>
    </w:p>
    <w:p w14:paraId="3384BC53">
      <w:pPr>
        <w:rPr>
          <w:rFonts w:hint="eastAsia"/>
        </w:rPr>
      </w:pPr>
      <w:r>
        <w:rPr>
          <w:rFonts w:hint="eastAsia"/>
        </w:rPr>
        <w:t>三项得分累计为 4+4+4=12分，达到本条满分评价标准。</w:t>
      </w:r>
    </w:p>
    <w:p w14:paraId="639CD5D4">
      <w:pPr>
        <w:rPr>
          <w:rFonts w:hint="eastAsia"/>
        </w:rPr>
      </w:pPr>
      <w:r>
        <w:rPr>
          <w:rFonts w:hint="eastAsia"/>
        </w:rPr>
        <w:t>五、合规性评价</w:t>
      </w:r>
    </w:p>
    <w:p w14:paraId="7B6592B9">
      <w:pPr>
        <w:rPr>
          <w:rFonts w:hint="eastAsia"/>
        </w:rPr>
      </w:pPr>
    </w:p>
    <w:p w14:paraId="121AA338">
      <w:pPr>
        <w:rPr>
          <w:rFonts w:hint="eastAsia"/>
        </w:rPr>
      </w:pPr>
      <w:r>
        <w:rPr>
          <w:rFonts w:hint="eastAsia"/>
        </w:rPr>
        <w:t>本项目地下空间平均采光系数不小于0.5%的面积占地下室首层面积比例为 12%，满足规范要求；同时内区采光及主要功能空间采光时长均达标，完全符合《绿色建筑评价标准》GB/T 50378-2019第5.2.8条规定，可获得本条满分12分，认定为达标。</w:t>
      </w:r>
    </w:p>
    <w:p w14:paraId="79AA6468">
      <w:pPr>
        <w:rPr>
          <w:rFonts w:hint="eastAsia"/>
        </w:rPr>
      </w:pPr>
      <w:r>
        <w:rPr>
          <w:rFonts w:hint="eastAsia"/>
        </w:rPr>
        <w:t>六、结论</w:t>
      </w:r>
    </w:p>
    <w:p w14:paraId="56B4E103">
      <w:pPr>
        <w:rPr>
          <w:rFonts w:hint="eastAsia"/>
        </w:rPr>
      </w:pPr>
    </w:p>
    <w:p w14:paraId="6C81AB32">
      <w:pPr>
        <w:rPr>
          <w:rFonts w:hint="eastAsia"/>
        </w:rPr>
      </w:pPr>
      <w:r>
        <w:rPr>
          <w:rFonts w:hint="eastAsia"/>
        </w:rPr>
        <w:t>本计算书数据真实有效，地下空间采光设计合理，采光系数及面积比例均满足规范及绿色建筑评价要求，可作为5.2.8条评价提资依据。</w:t>
      </w:r>
    </w:p>
    <w:p w14:paraId="089C5B2B">
      <w:pPr>
        <w:rPr>
          <w:rFonts w:hint="eastAsia"/>
        </w:rPr>
      </w:pPr>
      <w:r>
        <w:rPr>
          <w:rFonts w:hint="eastAsia"/>
        </w:rPr>
        <w:t>七、备注</w:t>
      </w:r>
    </w:p>
    <w:p w14:paraId="1DCA6BC5">
      <w:pPr>
        <w:rPr>
          <w:rFonts w:hint="eastAsia"/>
        </w:rPr>
      </w:pPr>
    </w:p>
    <w:p w14:paraId="4F35E860">
      <w:pPr>
        <w:rPr>
          <w:rFonts w:hint="eastAsia"/>
        </w:rPr>
      </w:pPr>
      <w:r>
        <w:rPr>
          <w:rFonts w:hint="eastAsia"/>
        </w:rPr>
        <w:t>1. 本计算书仅针对地下空间采光系数部分，住宅建筑部分及公共建筑其他采光指标需另行提供动态采光计算书佐证。</w:t>
      </w:r>
    </w:p>
    <w:p w14:paraId="1AB888A5">
      <w:pPr>
        <w:rPr>
          <w:rFonts w:hint="eastAsia"/>
        </w:rPr>
      </w:pPr>
    </w:p>
    <w:p w14:paraId="15CA0669">
      <w:pPr>
        <w:rPr>
          <w:rFonts w:hint="eastAsia"/>
        </w:rPr>
      </w:pPr>
      <w:r>
        <w:rPr>
          <w:rFonts w:hint="eastAsia"/>
        </w:rPr>
        <w:t>2. 所有模拟数据、设计图纸及采光分析报告均已归档留存，可随时查阅。</w:t>
      </w:r>
    </w:p>
    <w:p w14:paraId="6913A7DC">
      <w:pPr>
        <w:rPr>
          <w:rFonts w:hint="eastAsia"/>
        </w:rPr>
      </w:pPr>
      <w:r>
        <w:rPr>
          <w:rFonts w:hint="eastAsia"/>
        </w:rPr>
        <w:t>日期：2026年03月19日</w:t>
      </w:r>
    </w:p>
    <w:p w14:paraId="1FDE25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43292"/>
    <w:rsid w:val="3214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2026-03-19T16:08:00Z</dcterms:created>
  <dc:creator>邓睿瑞今天睡好了吗</dc:creator>
  <cp:lastModifiedBy>邓睿瑞今天睡好了吗</cp:lastModifiedBy>
  <dcterms:modified xsi:type="dcterms:W3CDTF">2026-03-19T16:10:32Z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8D6FD3CEB5B2439892DC27155FE803B0_11</vt:lpwstr>
  </property>
  <property fmtid="{D5CDD505-2E9C-101B-9397-08002B2CF9AE}" pid="4" name="KSOTemplateDocerSaveRecord">
    <vt:lpwstr>eyJoZGlkIjoiMmM0NDNiZTE0YzZjMGM1MGZhM2Y2NjAzM2FmNzAyNDQiLCJ1c2VySWQiOiIxMTY3NzUyNTU0In0=</vt:lpwstr>
  </property>
</Properties>
</file>