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创新措施分析论证报告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报告编号：BKA80273-INNO-2026</w:t>
      </w:r>
    </w:p>
    <w:p>
      <w:pPr>
        <w:rPr>
          <w:rFonts w:hint="eastAsia"/>
        </w:rPr>
      </w:pPr>
      <w:r>
        <w:rPr>
          <w:rFonts w:hint="eastAsia"/>
        </w:rPr>
        <w:t>项目名称：浮光方序博物馆</w:t>
      </w:r>
    </w:p>
    <w:p>
      <w:pPr>
        <w:rPr>
          <w:rFonts w:hint="eastAsia"/>
        </w:rPr>
      </w:pPr>
      <w:r>
        <w:rPr>
          <w:rFonts w:hint="eastAsia"/>
        </w:rPr>
        <w:t>编制单位：豫南浮光方序博物馆建设有限公司</w:t>
      </w:r>
    </w:p>
    <w:p>
      <w:pPr>
        <w:rPr>
          <w:rFonts w:hint="eastAsia"/>
        </w:rPr>
      </w:pPr>
      <w:r>
        <w:rPr>
          <w:rFonts w:hint="eastAsia"/>
        </w:rPr>
        <w:t>编制日期：2026年3月17日</w:t>
      </w:r>
    </w:p>
    <w:p>
      <w:pPr>
        <w:rPr>
          <w:rFonts w:hint="eastAsia"/>
        </w:rPr>
      </w:pPr>
      <w:r>
        <w:rPr>
          <w:rFonts w:hint="eastAsia"/>
        </w:rPr>
        <w:t>一、报告总则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报告针对“浮光方序Ⅰ”项目的四大创新措施进行分析论证，对应绿色建筑评价标准9.2.10条（满分40分，每项创新措施得10分）。所有措施均围绕节约资源、生态保护、低碳排放、智慧运行、文化传承等核心目标，具备显著环境效益与社会效益。</w:t>
      </w:r>
    </w:p>
    <w:p>
      <w:pPr>
        <w:rPr>
          <w:rFonts w:hint="eastAsia"/>
        </w:rPr>
      </w:pPr>
      <w:r>
        <w:rPr>
          <w:rFonts w:hint="eastAsia"/>
        </w:rPr>
        <w:t>二、创新措施清单与得分对应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创新措施类别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核心内容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对应得分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节约资源与低碳排放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模块化方体错叠建造+可再生能源系统集成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生态环境与健康舒适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被动式节能技术+场地生态修复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智慧友好运行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BIM全生命周期管理+绿色运维智慧平台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历史文化传承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豫南地域文化转译+现代建筑语言表达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10分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三、分项创新措施论证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（一）创新措施1：模块化方体错叠建造+可再生能源系统集成（节约资源与低碳排放）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创新内容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模块化建造：建筑主体采用模块化方体错叠设计，工厂预制率达65%，现场装配施工，减少现场湿作业与建筑垃圾排放。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可再生能源集成：屋面铺设光伏板（总装机容量120kW），结合地源热泵系统、太阳能热水系统，实现建筑用能自给率达42%，年减少碳排放约180吨。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效益论证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资源节约：模块化建造缩短施工周期30%，减少钢材、混凝土浪费约25%，降低施工能耗约20%。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低碳效益：可再生能源系统替代传统化石能源，年节约标准煤约65吨，符合“双碳”目标要求，具备显著碳减排效益。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经济性：光伏系统年发电量约13万kWh，可覆盖建筑35%的用电需求，5-7年可收回增量投资成本。</w:t>
      </w:r>
    </w:p>
    <w:p>
      <w:pPr>
        <w:rPr>
          <w:rFonts w:hint="eastAsia"/>
        </w:rPr>
      </w:pPr>
      <w:r>
        <w:rPr>
          <w:rFonts w:hint="eastAsia"/>
        </w:rPr>
        <w:t>（二）创新措施2：被动式节能技术+场地生态修复（生态环境与健康舒适）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创新内容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被动式节能：采用蓄热墙、自然采光优化、热回收新风系统等被动技术，降低建筑采暖制冷能耗，提升室内热舒适度（PMV=-0.16，PPD=5.47%，满足绿色建筑三星级标准）。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场地生态修复：保留场地原有植被，构建雨水花园、透水铺装、水循环系统，实现雨水年径流总量控制率达85%，修复场地生态环境。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效益论证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生态保护：雨水花园与水循环系统可截留雨水、净化水质，减少城市内涝风险，提升场地生物多样性。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健康舒适：自然采光率达78%，热回收新风系统保证室内空气清新，避免空调病，提升参观者与工作人员的健康水平。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能耗降低：被动式技术使建筑全年能耗降低至125kWh/㎡·a，远低于同类公共建筑平均水平（约180kWh/㎡·a）。</w:t>
      </w:r>
    </w:p>
    <w:p>
      <w:pPr>
        <w:rPr>
          <w:rFonts w:hint="eastAsia"/>
        </w:rPr>
      </w:pPr>
      <w:r>
        <w:rPr>
          <w:rFonts w:hint="eastAsia"/>
        </w:rPr>
        <w:t>（三）创新措施3：BIM全生命周期管理+绿色运维智慧平台（智慧友好运行）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创新内容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BIM全生命周期应用：在规划设计、施工建造阶段应用BIM技术，实现设计协同、施工模拟、成本管控，为后期运维提供数字化模型基础。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绿色运维智慧平台：搭建智慧运维平台，集成能耗监测、设备管理、环境监测功能，实时监控光伏系统、地源热泵、室内环境参数，实现自动化运维与节能优化。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效益论证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运维效率提升：智慧平台可提前预警设备故障，减少停机时间，运维人力成本降低约30%。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节能优化：通过能耗数据分析，动态调整设备运行策略，进一步降低建筑能耗约8%。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智慧友好：平台向公众开放部分环境数据，提升绿色建筑科普性，增强市民生态环保意识。</w:t>
      </w:r>
    </w:p>
    <w:p>
      <w:pPr>
        <w:rPr>
          <w:rFonts w:hint="eastAsia"/>
        </w:rPr>
      </w:pPr>
      <w:r>
        <w:rPr>
          <w:rFonts w:hint="eastAsia"/>
        </w:rPr>
        <w:t>（四）创新措施4：豫南地域文化转译+现代建筑语言表达（历史文化传承）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创新内容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地域文化转译：提取豫南传统建筑“院落式布局、坡屋顶肌理、质朴材料”等元素，转译为现代模块化方体形态，传承地域建筑文化基因。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文化展示融合：建筑内部空间设计融入豫南历史文化展陈逻辑，通过“穿行式”流线引导参观者感受地域文化脉络，实现建筑与文化展示的一体化。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效益论证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文化传承：以现代建筑语言延续豫南地域文化，避免千城一面，成为地域文化传播的载体。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社会效益：博物馆成为豫南文化新地标，带动区域文化旅游发展，年预计接待游客15万人次，提升城市文化软实力。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教育价值：建筑本身作为“可阅读的文化展品”，为青少年提供建筑文化与生态环保教育场景。</w:t>
      </w:r>
    </w:p>
    <w:p>
      <w:pPr>
        <w:rPr>
          <w:rFonts w:hint="eastAsia"/>
        </w:rPr>
      </w:pPr>
      <w:r>
        <w:rPr>
          <w:rFonts w:hint="eastAsia"/>
        </w:rPr>
        <w:t>四、综合效益分析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环境效益：四大创新措施协同作用，使项目年碳排放减少约220吨，水资源消耗降低35%，建筑垃圾排放减少60%，显著改善区域生态环境。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经济效益：全生命周期成本降低约18%，可再生能源系统与被动式技术带来长期节能收益，同时带动绿色建筑技术产业发展。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社会效益：传承地域文化，提升公共健康水平，为绿色建筑创新提供示范案例，推动豫南地区绿色建筑行业发展。</w:t>
      </w:r>
    </w:p>
    <w:p>
      <w:pPr>
        <w:rPr>
          <w:rFonts w:hint="eastAsia"/>
        </w:rPr>
      </w:pPr>
      <w:r>
        <w:rPr>
          <w:rFonts w:hint="eastAsia"/>
        </w:rPr>
        <w:t>五、论证结论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四大创新措施均具备技术可行性、效益显著性、示范推广性，完全符合绿色建筑评价标准9.2.10条“其他创新”的要求，可获得满分40分。各项措施在节约资源、生态保护、智慧运行、文化传承等方面均有突出表现，具备良好的环境、经济与社会效益。</w:t>
      </w:r>
    </w:p>
    <w:p>
      <w:pPr>
        <w:rPr>
          <w:rFonts w:hint="eastAsia"/>
        </w:rPr>
      </w:pPr>
      <w:r>
        <w:rPr>
          <w:rFonts w:hint="eastAsia"/>
        </w:rPr>
        <w:t>六、附件清单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创新措施相关设计文件（模块化建造图纸、可再生能源系统图、被动式节能设计说明等）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创新措施效益分析报告（碳排放计算书、能耗模拟报告、成本收益分析表等）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创新措施相关证明材料（BIM模型、智慧运维平台截图、文化元素分析报告等）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编制单位（盖章）：豫南浮光方序博物馆建设有限公司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265F"/>
    <w:rsid w:val="4E47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2026-03-17T14:50:00Z</dcterms:created>
  <dc:creator>偷喝汽水.</dc:creator>
  <cp:lastModifiedBy>偷喝汽水.</cp:lastModifiedBy>
  <dcterms:modified xsi:type="dcterms:W3CDTF">2026-03-17T14:52:23Z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