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创新措施</w:t>
      </w:r>
      <w:r>
        <w:rPr>
          <w:rFonts w:hint="eastAsia"/>
          <w:sz w:val="36"/>
          <w:szCs w:val="44"/>
          <w:lang w:val="en-US" w:eastAsia="zh-CN"/>
        </w:rPr>
        <w:t>相关</w:t>
      </w:r>
      <w:r>
        <w:rPr>
          <w:rFonts w:hint="eastAsia"/>
          <w:sz w:val="36"/>
          <w:szCs w:val="44"/>
        </w:rPr>
        <w:t>证明材料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一、节约资源与低碳排放创新措施证明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被动式节能设计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设计依据：豫南地区亚热带季风气候特征，夏季高温多雨、冬季温和湿润，通过建筑朝向优化、窗墙比控制、遮阳系统设计，降低空调与采暖能耗。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建筑主体采用南北向布局，主要采光面朝向正南，冬季最大化利用太阳能采暖，夏季通过水平遮阳板减少太阳直射。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窗墙比控制在0.32，外墙采用200mm厚加气混凝土+保温砂浆复合保温体系，传热系数≤0.45 W/(m²·K)，优于《公共建筑节能设计标准》限值。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效益数据：经模拟计算，被动式节能可降低建筑全年空调能耗约22%，年减少碳排放约128.6吨CO₂。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可再生能源利用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屋顶铺设光伏板面积约850㎡，采用单晶硅组件，年发电量约12.7万kWh，可满足建筑18%的用电需求。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地源热泵系统埋管深度100m，冬季供暖COP≥4.2，夏季制冷COP≥5.1，替代传统燃气锅炉与电制冷机组。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效益数据：年替代化石能源消耗约36.5吨标准煤，年减少碳排放约95.2吨CO₂，可再生能源利用率达26%。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水资源循环利用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屋面雨水收集系统设计规模约120m³，经沉淀、过滤、消毒后用于绿化灌溉、道路清扫，年回用雨水约1800m³。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卫生间采用节水器具，坐便器、小便器水效等级均为1级，人均日用水量较规范限值降低30%。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效益数据：年节约自来水约2200m³，水资源重复利用率达35%，符合《绿色建筑评价标准》节水要求。</w:t>
      </w:r>
    </w:p>
    <w:p>
      <w:pPr>
        <w:rPr>
          <w:rFonts w:hint="eastAsia"/>
        </w:rPr>
      </w:pPr>
      <w:r>
        <w:rPr>
          <w:rFonts w:hint="eastAsia"/>
        </w:rPr>
        <w:t>二、生态环境保护与健康舒适创新措施证明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生态场地修复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设计依据：场地原有植被覆盖率较低，通过乡土植物配置、雨水花园设计，修复区域生态系统。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场地绿化率达32%，种植豫南乡土树种（如朴树、乌桕、桂花）及本土草本植物，构建近自然植物群落。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沿建筑周边设置雨水花园、下凹式绿地，总面积约2200㎡，可滞留70%以上的降雨径流，减少面源污染。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效益数据：生物多样性较设计前提升45%，径流污染削减率达65%，获得当地园林部门生态修复认可文件。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室内健康环境保障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采用热回收新风系统，新风量按30m³/(h·人)设计，PM2.5过滤效率≥95%，CO₂浓度控制在1000ppm以内。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室内装修材料均选用E1级环保板材、低VOC涂料，甲醛、苯等有害气体释放量符合《民用建筑工程室内环境污染控制标准》。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检测数据：第三方检测机构出具的室内空气质量检测报告显示，甲醛浓度≤0.03mg/m³，TVOC浓度≤0.3mg/m³，均优于国家标准限值。</w:t>
      </w:r>
    </w:p>
    <w:p>
      <w:pPr>
        <w:rPr>
          <w:rFonts w:hint="eastAsia"/>
        </w:rPr>
      </w:pPr>
      <w:r>
        <w:rPr>
          <w:rFonts w:hint="eastAsia"/>
        </w:rPr>
        <w:t>三、智慧友好运行创新措施证明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智慧建筑管理系统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搭建BIM+IoT智慧运维平台，集成能耗监测、设备管理、安防监控、客流统计功能。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能耗监测模块实时采集电、水、气数据，生成能耗分析报表，实现能耗异常预警与节能优化。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效益数据：运维效率提升30%，人工巡检成本降低25%，年节约运维费用约18万元。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无障碍与友好服务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全馆设置无障碍通道、无障碍卫生间、电梯，坡道坡度≤1:12，扶手高度符合《无障碍设计规范》。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配备智能导览系统，支持语音播报、AR导览、多语言切换，满足老年、残障及外籍观众需求。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认证文件：获得当地残联无障碍设施验收合格证明，智慧导览系统获市级智慧文旅创新奖项。</w:t>
      </w:r>
    </w:p>
    <w:p>
      <w:pPr>
        <w:rPr>
          <w:rFonts w:hint="eastAsia"/>
        </w:rPr>
      </w:pPr>
      <w:r>
        <w:rPr>
          <w:rFonts w:hint="eastAsia"/>
        </w:rPr>
        <w:t>四、传承历史文化创新措施证明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地域文化转译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设计依据：豫南地区传统民居“天井院”“夯土墙”等建筑元素，提取几何形态与材料质感进行现代转译。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建筑体量采用模块化方块组合，呼应传统民居院落布局，形成“穿行式”空间序列。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外立面采用白色真石漆，模拟豫南传统夯土墙的质朴质感，开窗比例借鉴传统木构窗棂秩序。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文化认可：豫南文化研究会出具评价文件，认为设计有效传承了地域建筑文化，符合现代博物馆的公共性与开放性。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文化展示与活化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技术应用：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馆内设置豫南民俗文化展厅，通过数字投影、沉浸式体验等方式，展示豫南农耕文化、非遗技艺。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◦ 建筑公共空间设计文化展陈区，定期举办地方戏曲、手工技艺体验活动，实现文化活态传承。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• 社会效益：开馆半年内累计接待观众约8万人次，举办文化活动24场，获得市级“文化传承示范单位”称号。</w:t>
      </w:r>
    </w:p>
    <w:p>
      <w:pPr>
        <w:rPr>
          <w:rFonts w:hint="eastAsia"/>
        </w:rPr>
      </w:pPr>
      <w:r>
        <w:rPr>
          <w:rFonts w:hint="eastAsia"/>
        </w:rPr>
        <w:t>五、附件清单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 《建筑能耗模拟报告》（含被动式节能、可再生能源效益分析）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 光伏电站、地源热泵系统设计图纸与设备选型清单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 雨水收集系统设计方案与水质检测报告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 室内空气质量第三方检测报告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 生态场地修复设计方案与园林部门验收文件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 智慧建筑管理系统功能说明与运维数据报表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 无障碍设施验收合格证明与智慧导览系统获奖证书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 豫南文化研究会文化传承评价文件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 市级“文化传承示范单位”荣誉证书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 碳排放核算报告（含年减排量数据）</w:t>
      </w:r>
    </w:p>
    <w:p>
      <w:pPr>
        <w:rPr>
          <w:rFonts w:hint="eastAsia"/>
        </w:rPr>
      </w:pPr>
      <w:r>
        <w:rPr>
          <w:rFonts w:hint="eastAsia"/>
        </w:rPr>
        <w:t>六、创新效益总结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创新类别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核心效益指标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节约资源与低碳排放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年减少碳排放约223.8吨CO₂，可再生能源利用率26%，水资源重复利用率35%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生态环境保护与健康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生物多样性提升45%，室内空气质量优于国标限值，径流污染削减率65%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智慧友好运行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运维效率提升30%，人工成本降低25%，无障碍服务覆盖全年龄段观众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r>
              <w:rPr>
                <w:rFonts w:hint="eastAsia"/>
              </w:rPr>
              <w:t>传承历史文化</w:t>
            </w:r>
          </w:p>
        </w:tc>
        <w:tc>
          <w:tcPr>
            <w:tcW w:w="4261" w:type="dxa"/>
          </w:tcPr>
          <w:p>
            <w:r>
              <w:rPr>
                <w:rFonts w:hint="eastAsia"/>
              </w:rPr>
              <w:t>地域建筑文化有效转译，年接待文化观众约16万人次，获市级文化传承示范认证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本证明材料真实反映了“浮光方序”绿色现代博物馆的创新措施与实施效益，符合《绿色建筑评价标准》9.2.10条“其他创新”的评价要求。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2F39"/>
    <w:rsid w:val="049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2026-03-18T12:52:00Z</dcterms:created>
  <dc:creator>偷喝汽水.</dc:creator>
  <cp:lastModifiedBy>偷喝汽水.</cp:lastModifiedBy>
  <dcterms:modified xsi:type="dcterms:W3CDTF">2026-03-18T12:55:58Z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