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C2F87">
      <w:pPr>
        <w:pStyle w:val="2"/>
        <w:bidi w:val="0"/>
        <w:rPr>
          <w:rFonts w:hint="eastAsia"/>
        </w:rPr>
      </w:pPr>
      <w:r>
        <w:rPr>
          <w:rFonts w:hint="eastAsia"/>
        </w:rPr>
        <w:t>驻马店博物馆利废建材废弃物掺量说明及证明材料</w:t>
      </w:r>
    </w:p>
    <w:p w14:paraId="6A002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一、说明概述</w:t>
      </w:r>
    </w:p>
    <w:p w14:paraId="5D556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本项目为驻马店市博物馆绿色建筑设计项目，为响应绿色建筑、低碳环保及可持续发展要求，在主体结构、围护结构及装饰装修工程中，大量采用利废建材（即利用工业废渣、建筑废弃物、矿山尾矿等再生原料生产的建筑材料）。本文件对项目所使用的利废建材种类、废弃物掺量、技术指标、应用部位及相关证明材料进行系统说明，作为绿色建筑评价、材料验收及工程资料归档的依据。</w:t>
      </w:r>
    </w:p>
    <w:p w14:paraId="20254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二、利废建材种类及废弃物掺量说明</w:t>
      </w:r>
    </w:p>
    <w:p w14:paraId="18FB0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（一）高性能混凝土（C30、C35 P8）</w:t>
      </w:r>
    </w:p>
    <w:p w14:paraId="2E8A2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应用部位：主体框架柱、梁、楼板、基础、地下室底板</w:t>
      </w:r>
    </w:p>
    <w:p w14:paraId="6030D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再生原料及掺量</w:t>
      </w:r>
    </w:p>
    <w:p w14:paraId="21534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粉煤灰（Ⅱ级）：掺量20%（替代水泥）</w:t>
      </w:r>
    </w:p>
    <w:p w14:paraId="18023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粒化高炉矿渣粉（S95级）：掺量15%（替代水泥）</w:t>
      </w:r>
    </w:p>
    <w:p w14:paraId="3677F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再生骨料（废弃混凝土破碎）：掺量10%（替代天然骨料）</w:t>
      </w:r>
    </w:p>
    <w:p w14:paraId="6A423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总废弃物掺量：45%（符合《混凝土用再生粗骨料》GB/T 25177‑2010及《粉煤灰混凝土应用技术规范》GB/T 50146‑2014要求）</w:t>
      </w:r>
    </w:p>
    <w:p w14:paraId="30C28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性能指标：强度等级满足设计要求，抗渗等级≥P8，抗冻等级≥F200，氯离子渗透系数≤1.0×10⁻¹² m²/s，耐久性满足100年设计使用年限。</w:t>
      </w:r>
    </w:p>
    <w:p w14:paraId="11866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（二）加气混凝土砌块</w:t>
      </w:r>
    </w:p>
    <w:p w14:paraId="7A684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应用部位：外墙填充墙、内墙隔墙</w:t>
      </w:r>
    </w:p>
    <w:p w14:paraId="3A476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再生原料及掺量</w:t>
      </w:r>
    </w:p>
    <w:p w14:paraId="653A7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粉煤灰：掺量60%（主要原料）</w:t>
      </w:r>
    </w:p>
    <w:p w14:paraId="376E8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脱硫石膏：掺量8%（激发剂）</w:t>
      </w:r>
    </w:p>
    <w:p w14:paraId="66D0F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尾矿砂：掺量12%（辅助原料）</w:t>
      </w:r>
    </w:p>
    <w:p w14:paraId="66695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总废弃物掺量：80%（符合《蒸压加气混凝土砌块》GB/T 11968‑2020要求）</w:t>
      </w:r>
    </w:p>
    <w:p w14:paraId="7387B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51FDF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性能指标：干表观密度≤650kg/m³，抗压强度≥5.0MPa，导热系数≤0.18W/(m·K)，满足保温、隔声、轻质高强要求。</w:t>
      </w:r>
    </w:p>
    <w:p w14:paraId="21679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（三）预拌砂浆（M5、M10）</w:t>
      </w:r>
    </w:p>
    <w:p w14:paraId="74B3D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应用部位：砌筑、抹灰、地面垫层</w:t>
      </w:r>
    </w:p>
    <w:p w14:paraId="7F91F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再生原料及掺量</w:t>
      </w:r>
    </w:p>
    <w:p w14:paraId="6D88A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粉煤灰：掺量18%</w:t>
      </w:r>
    </w:p>
    <w:p w14:paraId="5B35C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矿渣微粉：掺量12%</w:t>
      </w:r>
    </w:p>
    <w:p w14:paraId="72876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再生细骨料（废弃砂浆、混凝土破碎）：掺量25%</w:t>
      </w:r>
    </w:p>
    <w:p w14:paraId="1ACC7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总废弃物掺量：55%（符合《预拌砂浆》GB/T 25181‑2010要求）</w:t>
      </w:r>
    </w:p>
    <w:p w14:paraId="6B7B9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性能指标：和易性良好，强度达标，收缩率低，无空鼓开裂风险。</w:t>
      </w:r>
    </w:p>
    <w:p w14:paraId="5108C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（四）再生骨料透水砖</w:t>
      </w:r>
    </w:p>
    <w:p w14:paraId="43FDE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应用部位：室外广场、停车场、人行道铺装</w:t>
      </w:r>
    </w:p>
    <w:p w14:paraId="726E5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再生原料及掺量</w:t>
      </w:r>
    </w:p>
    <w:p w14:paraId="78CD9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建筑废弃混凝土再生骨料：掺量70%</w:t>
      </w:r>
    </w:p>
    <w:p w14:paraId="6F83A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陶瓷废料：掺量15%</w:t>
      </w:r>
    </w:p>
    <w:p w14:paraId="7D14C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总废弃物掺量：85%（符合《透水砖》GB/T 32987‑2016要求）</w:t>
      </w:r>
    </w:p>
    <w:p w14:paraId="15AF1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性能指标：抗压强度≥30MPa，透水系数≥1.5×10⁻³ cm/s，防滑、耐磨、耐候性优良。</w:t>
      </w:r>
    </w:p>
    <w:p w14:paraId="3C45D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（五）利废保温材料（XPS板改性）</w:t>
      </w:r>
    </w:p>
    <w:p w14:paraId="62E73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应用部位：外墙外保温、屋面保温</w:t>
      </w:r>
    </w:p>
    <w:p w14:paraId="21924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再生原料及掺量</w:t>
      </w:r>
    </w:p>
    <w:p w14:paraId="6681C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废旧聚苯乙烯泡沫（EPS）：掺量30%</w:t>
      </w:r>
    </w:p>
    <w:p w14:paraId="0C8AF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工业废渣微珠：掺量15%</w:t>
      </w:r>
    </w:p>
    <w:p w14:paraId="59068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总废弃物掺量：45%（符合《外墙外保温用挤塑聚苯乙烯泡沫塑料板》GB/T 30595‑2014要求）</w:t>
      </w:r>
    </w:p>
    <w:p w14:paraId="20C9F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性能指标：导热系数≤0.030W/(m·K)，抗压强度≥250kPa，阻燃等级B1级，耐久性≥25年。</w:t>
      </w:r>
    </w:p>
    <w:p w14:paraId="104A4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三、废弃物掺量证明材料清单</w:t>
      </w:r>
    </w:p>
    <w:p w14:paraId="58032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材料生产企业资质文件</w:t>
      </w:r>
    </w:p>
    <w:p w14:paraId="61A69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混凝土生产企业营业执照、绿色建材认证证书</w:t>
      </w:r>
    </w:p>
    <w:p w14:paraId="69269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加气混凝土砌块、再生砖生产企业工业废渣综合利用认定证书</w:t>
      </w:r>
    </w:p>
    <w:p w14:paraId="37335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 利废建材出厂检测报告</w:t>
      </w:r>
    </w:p>
    <w:p w14:paraId="66450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高性能混凝土配合比通知单、粉煤灰/矿渣掺量证明</w:t>
      </w:r>
    </w:p>
    <w:p w14:paraId="5B615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加气混凝土砌块原料配比报告、废弃物掺量检测报告</w:t>
      </w:r>
    </w:p>
    <w:p w14:paraId="09C88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预拌砂浆、再生砖、保温板废弃物掺量及性能检测报告</w:t>
      </w:r>
    </w:p>
    <w:p w14:paraId="06BE6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再生原料来源证明</w:t>
      </w:r>
    </w:p>
    <w:p w14:paraId="41A58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粉煤灰、矿渣粉、脱硫石膏供应企业出具的原料来源及品质证明</w:t>
      </w:r>
    </w:p>
    <w:p w14:paraId="57166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建筑废弃物回收处理企业出具的再生骨料来源及处理合格证明</w:t>
      </w:r>
    </w:p>
    <w:p w14:paraId="6BD89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第三方检测机构报告</w:t>
      </w:r>
    </w:p>
    <w:p w14:paraId="6B90E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具备CMA资质的检测机构出具的废弃物掺量复核报告</w:t>
      </w:r>
    </w:p>
    <w:p w14:paraId="3EEFF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利废建材性能检测报告（强度、导热、抗渗、耐久性等）</w:t>
      </w:r>
    </w:p>
    <w:p w14:paraId="0687D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5. 进场验收记录</w:t>
      </w:r>
    </w:p>
    <w:p w14:paraId="01728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材料进场验收单、监理单位确认文件</w:t>
      </w:r>
    </w:p>
    <w:p w14:paraId="68FDE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废弃物掺量核对记录、材料使用部位台账</w:t>
      </w:r>
    </w:p>
    <w:p w14:paraId="7E436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四、利废建材应用效益说明</w:t>
      </w:r>
    </w:p>
    <w:p w14:paraId="3C8D9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资源节约：项目累计利用粉煤灰、矿渣、建筑废弃物等工业废渣及再生原料约1800吨，减少天然砂石、水泥等原生资源消耗约1200吨。</w:t>
      </w:r>
    </w:p>
    <w:p w14:paraId="520B6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环保减排：减少废弃物填埋约1500吨，降低碳排放约300吨，降低粉尘、噪声污染，改善区域生态环境。</w:t>
      </w:r>
    </w:p>
    <w:p w14:paraId="71B17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性能提升：利废建材具有轻质、高强、保温、耐久等优点，提升建筑整体性能，降低全生命周期维护成本。</w:t>
      </w:r>
    </w:p>
    <w:p w14:paraId="6BCFB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符合标准：所有利废建材废弃物掺量均满足国家及地方相关标准要求，通过绿色建材认证，可作为绿色建筑评价加分项。</w:t>
      </w:r>
    </w:p>
    <w:p w14:paraId="5309F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五、结论</w:t>
      </w:r>
    </w:p>
    <w:p w14:paraId="6D42C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本项目所使用的利废建材均符合国家现行标准，废弃物掺量真实、准确，相关证明材料齐全、有效。利废建材的大规模应用，实现了“变废为宝、资源循环”，充分体现了绿色建筑的可持续发展理念，为项目绿色建筑评价提供有力支撑。</w:t>
      </w:r>
    </w:p>
    <w:p w14:paraId="1707E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编制单位：驻马店市博物馆项目部</w:t>
      </w:r>
    </w:p>
    <w:p w14:paraId="64548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编制日期：2026年3月20日</w:t>
      </w:r>
    </w:p>
    <w:p w14:paraId="6E81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7CD3E5B"/>
    <w:rsid w:val="0AFE2A19"/>
    <w:rsid w:val="0CF90255"/>
    <w:rsid w:val="123C58FA"/>
    <w:rsid w:val="1BAE077A"/>
    <w:rsid w:val="1C3C12E2"/>
    <w:rsid w:val="22233C11"/>
    <w:rsid w:val="244F54A0"/>
    <w:rsid w:val="2C55584A"/>
    <w:rsid w:val="2E454CF5"/>
    <w:rsid w:val="331D2CEA"/>
    <w:rsid w:val="33633703"/>
    <w:rsid w:val="33C75702"/>
    <w:rsid w:val="35301450"/>
    <w:rsid w:val="35611C20"/>
    <w:rsid w:val="36CF5679"/>
    <w:rsid w:val="394F2215"/>
    <w:rsid w:val="3D677DCC"/>
    <w:rsid w:val="3DB70E50"/>
    <w:rsid w:val="3E374C21"/>
    <w:rsid w:val="3E9207B3"/>
    <w:rsid w:val="403F4FF6"/>
    <w:rsid w:val="421922FE"/>
    <w:rsid w:val="43AD2714"/>
    <w:rsid w:val="43E022A5"/>
    <w:rsid w:val="47AA6C20"/>
    <w:rsid w:val="48D12D87"/>
    <w:rsid w:val="4F855D03"/>
    <w:rsid w:val="50C84447"/>
    <w:rsid w:val="55A2658D"/>
    <w:rsid w:val="598B6E78"/>
    <w:rsid w:val="5D2850E5"/>
    <w:rsid w:val="63EE7082"/>
    <w:rsid w:val="67090219"/>
    <w:rsid w:val="751F6635"/>
    <w:rsid w:val="7F1D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1454</Words>
  <Characters>1587</Characters>
  <Lines>0</Lines>
  <Paragraphs>0</Paragraphs>
  <TotalTime>40</TotalTime>
  <ScaleCrop>false</ScaleCrop>
  <LinksUpToDate>false</LinksUpToDate>
  <CharactersWithSpaces>1634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2026-03-20T15:56:50Z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AEA313ED7D284E4AA7CB1E17CE0D7E33_13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